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90B78">
      <w:pPr>
        <w:spacing w:line="264" w:lineRule="auto"/>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沙洲街道“片区联合体”校园大宗食材联合集中二次</w:t>
      </w:r>
    </w:p>
    <w:p w14:paraId="3A92D675">
      <w:pPr>
        <w:spacing w:line="264"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公告</w:t>
      </w:r>
    </w:p>
    <w:p w14:paraId="1B71A3CC">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bookmarkStart w:id="0" w:name="OLE_LINK2"/>
      <w:r>
        <w:rPr>
          <w:rFonts w:hint="eastAsia" w:ascii="仿宋" w:hAnsi="仿宋" w:eastAsia="仿宋" w:cs="仿宋"/>
          <w:sz w:val="28"/>
          <w:szCs w:val="28"/>
          <w:highlight w:val="none"/>
          <w:lang w:eastAsia="zh-CN"/>
        </w:rPr>
        <w:t>南京师范大学附属中学新城初级中学黄山路分校、</w:t>
      </w:r>
      <w:bookmarkEnd w:id="0"/>
      <w:r>
        <w:rPr>
          <w:rFonts w:hint="eastAsia" w:ascii="仿宋" w:hAnsi="仿宋" w:eastAsia="仿宋" w:cs="仿宋"/>
          <w:sz w:val="28"/>
          <w:szCs w:val="28"/>
          <w:highlight w:val="none"/>
          <w:lang w:eastAsia="zh-CN"/>
        </w:rPr>
        <w:t>南京师范大学附属中学新城初级中学、南京市莲花实验学校、南京师范大学附属中学黄山路小学、南京市清润小学、南京师范大学附属中学江山小学、南京市莲花实验学校小学部、南京金穗花园幼儿园、南京市建邺区莲花南苑幼儿园、南京市建邺区清荷幼儿园、南京市莲花北苑幼儿园、南京市莲花嘉园第一幼儿园</w:t>
      </w:r>
      <w:r>
        <w:rPr>
          <w:rFonts w:hint="eastAsia" w:ascii="仿宋" w:hAnsi="仿宋" w:eastAsia="仿宋" w:cs="仿宋"/>
          <w:sz w:val="28"/>
          <w:szCs w:val="28"/>
          <w:highlight w:val="none"/>
        </w:rPr>
        <w:t>就</w:t>
      </w:r>
      <w:r>
        <w:rPr>
          <w:rFonts w:hint="eastAsia" w:ascii="仿宋" w:hAnsi="仿宋" w:eastAsia="仿宋" w:cs="仿宋"/>
          <w:b/>
          <w:bCs/>
          <w:sz w:val="28"/>
          <w:szCs w:val="28"/>
          <w:highlight w:val="none"/>
          <w:u w:val="single"/>
        </w:rPr>
        <w:t>NJZZ-W-2025F01006</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lang w:val="en-US" w:eastAsia="zh-CN"/>
        </w:rPr>
        <w:t>项目编号</w:t>
      </w:r>
      <w:r>
        <w:rPr>
          <w:rFonts w:hint="eastAsia" w:ascii="仿宋" w:hAnsi="仿宋" w:eastAsia="仿宋" w:cs="仿宋"/>
          <w:sz w:val="28"/>
          <w:szCs w:val="28"/>
          <w:highlight w:val="none"/>
          <w:u w:val="single"/>
          <w:lang w:eastAsia="zh-CN"/>
        </w:rPr>
        <w:t>）</w:t>
      </w:r>
      <w:r>
        <w:rPr>
          <w:rFonts w:hint="eastAsia" w:ascii="仿宋" w:hAnsi="仿宋" w:eastAsia="仿宋" w:cs="仿宋"/>
          <w:b/>
          <w:bCs/>
          <w:sz w:val="28"/>
          <w:szCs w:val="28"/>
          <w:highlight w:val="none"/>
          <w:u w:val="single"/>
          <w:lang w:eastAsia="zh-CN"/>
        </w:rPr>
        <w:t>沙洲街道“片区联合体”校园大宗食材联合集中二次采购</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进行招标，欢迎符合条件的供应商参加。</w:t>
      </w:r>
    </w:p>
    <w:p w14:paraId="69D49522">
      <w:pPr>
        <w:pStyle w:val="14"/>
        <w:pageBreakBefore w:val="0"/>
        <w:widowControl w:val="0"/>
        <w:numPr>
          <w:ilvl w:val="0"/>
          <w:numId w:val="1"/>
        </w:numPr>
        <w:kinsoku/>
        <w:wordWrap/>
        <w:overflowPunct/>
        <w:topLinePunct w:val="0"/>
        <w:autoSpaceDE/>
        <w:autoSpaceDN/>
        <w:bidi w:val="0"/>
        <w:adjustRightInd/>
        <w:snapToGrid/>
        <w:spacing w:before="120" w:after="120" w:line="360" w:lineRule="auto"/>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项目基本情况</w:t>
      </w:r>
    </w:p>
    <w:p w14:paraId="3B9ACB0C">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1.项目名称：</w:t>
      </w:r>
      <w:r>
        <w:rPr>
          <w:rFonts w:hint="eastAsia" w:ascii="仿宋" w:hAnsi="仿宋" w:eastAsia="仿宋" w:cs="仿宋"/>
          <w:sz w:val="28"/>
          <w:szCs w:val="28"/>
          <w:highlight w:val="none"/>
          <w:lang w:eastAsia="zh-CN"/>
        </w:rPr>
        <w:t>沙洲街道“片区联合体”校园大宗食材联合集中二次采购。</w:t>
      </w:r>
    </w:p>
    <w:p w14:paraId="172ADFA6">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2.最高限价：供应商报价（各品种）不得高于《南京市建邺区2024-2026学年度中小学、幼儿园大宗食材配送协议供货集中采购》各自入围报价，超过入围价投标无效。</w:t>
      </w:r>
    </w:p>
    <w:p w14:paraId="43D7855A">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3.采购需求（简介）：</w:t>
      </w:r>
      <w:r>
        <w:rPr>
          <w:rFonts w:hint="eastAsia" w:ascii="仿宋" w:hAnsi="仿宋" w:eastAsia="仿宋" w:cs="仿宋"/>
          <w:color w:val="auto"/>
          <w:sz w:val="28"/>
          <w:szCs w:val="28"/>
          <w:highlight w:val="none"/>
          <w:lang w:eastAsia="zh-CN"/>
        </w:rPr>
        <w:t>南京师范大学附属中学新城初级中学黄山路分校、南京师范大学附属中学新城初级中学、南京市莲花实验学校、南京师范大学附属中学黄山路小学、南京市清润小学、南京师范大学附属中学江山小学、南京市莲花实验学校小学部、南京金穗花园幼儿园、南京市建邺区莲花南苑幼儿园、南京市建邺区清荷幼儿园、南京市莲花北苑幼儿园、南京市莲花嘉园第一幼儿园</w:t>
      </w:r>
      <w:r>
        <w:rPr>
          <w:rFonts w:hint="eastAsia" w:ascii="仿宋" w:hAnsi="仿宋" w:eastAsia="仿宋" w:cs="仿宋"/>
          <w:sz w:val="28"/>
          <w:szCs w:val="28"/>
          <w:highlight w:val="none"/>
        </w:rPr>
        <w:t>共</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所中小学及幼儿园自办食堂需采购大宗食材，为约</w:t>
      </w:r>
      <w:r>
        <w:rPr>
          <w:rFonts w:hint="eastAsia" w:ascii="仿宋" w:hAnsi="仿宋" w:eastAsia="仿宋" w:cs="仿宋"/>
          <w:sz w:val="28"/>
          <w:szCs w:val="28"/>
          <w:highlight w:val="none"/>
          <w:lang w:val="en-US" w:eastAsia="zh-CN"/>
        </w:rPr>
        <w:t>8316</w:t>
      </w:r>
      <w:r>
        <w:rPr>
          <w:rFonts w:hint="eastAsia" w:ascii="仿宋" w:hAnsi="仿宋" w:eastAsia="仿宋" w:cs="仿宋"/>
          <w:sz w:val="28"/>
          <w:szCs w:val="28"/>
          <w:highlight w:val="none"/>
        </w:rPr>
        <w:t>名师生提供就餐。</w:t>
      </w:r>
    </w:p>
    <w:p w14:paraId="2F675FC3">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合同履行期限：2025年2月1日-2025年4月30日。合同期满后，“片区联合体”校园大宗食材联合集中二次招标采购工作小组和学校膳食委员会根据供应商的履约、考核等情况，决定是否续签。（在合同期内，如遇省、市、区相关部门在食堂管理、食品安全等方面有新文件发布，或出现疫情等不可预见性情况，采购方将依据上级新的文件要求及实际情况提前终止或适当顺延本合同的执行期）。</w:t>
      </w:r>
    </w:p>
    <w:p w14:paraId="342815D9">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5.本项目</w:t>
      </w:r>
      <w:r>
        <w:rPr>
          <w:rFonts w:hint="eastAsia" w:ascii="仿宋" w:hAnsi="仿宋" w:eastAsia="仿宋" w:cs="仿宋"/>
          <w:b/>
          <w:bCs/>
          <w:sz w:val="28"/>
          <w:szCs w:val="28"/>
          <w:highlight w:val="none"/>
          <w:u w:val="single"/>
        </w:rPr>
        <w:t>不</w:t>
      </w:r>
      <w:r>
        <w:rPr>
          <w:rFonts w:hint="eastAsia" w:ascii="仿宋" w:hAnsi="仿宋" w:eastAsia="仿宋" w:cs="仿宋"/>
          <w:sz w:val="28"/>
          <w:szCs w:val="28"/>
          <w:highlight w:val="none"/>
          <w:u w:val="single"/>
        </w:rPr>
        <w:t>接受联合体投标。</w:t>
      </w:r>
    </w:p>
    <w:p w14:paraId="72BF958F">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6.采购品项：</w:t>
      </w:r>
    </w:p>
    <w:tbl>
      <w:tblPr>
        <w:tblStyle w:val="8"/>
        <w:tblW w:w="41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8"/>
        <w:gridCol w:w="4465"/>
      </w:tblGrid>
      <w:tr w14:paraId="586A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12" w:type="pct"/>
          </w:tcPr>
          <w:p w14:paraId="4E489ACB">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分包号</w:t>
            </w:r>
          </w:p>
        </w:tc>
        <w:tc>
          <w:tcPr>
            <w:tcW w:w="3187" w:type="pct"/>
          </w:tcPr>
          <w:p w14:paraId="7BF938AB">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品项</w:t>
            </w:r>
          </w:p>
        </w:tc>
      </w:tr>
      <w:tr w14:paraId="2939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12" w:type="pct"/>
          </w:tcPr>
          <w:p w14:paraId="5C15646B">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分包1</w:t>
            </w:r>
          </w:p>
        </w:tc>
        <w:tc>
          <w:tcPr>
            <w:tcW w:w="3187" w:type="pct"/>
          </w:tcPr>
          <w:p w14:paraId="5569AF71">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粮</w:t>
            </w:r>
          </w:p>
        </w:tc>
      </w:tr>
      <w:tr w14:paraId="1D1F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12" w:type="pct"/>
          </w:tcPr>
          <w:p w14:paraId="3BAA717C">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分包2</w:t>
            </w:r>
          </w:p>
        </w:tc>
        <w:tc>
          <w:tcPr>
            <w:tcW w:w="3187" w:type="pct"/>
          </w:tcPr>
          <w:p w14:paraId="3449A6A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食用油</w:t>
            </w:r>
          </w:p>
        </w:tc>
      </w:tr>
      <w:tr w14:paraId="2102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12" w:type="pct"/>
          </w:tcPr>
          <w:p w14:paraId="498D1EC5">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分包3</w:t>
            </w:r>
          </w:p>
        </w:tc>
        <w:tc>
          <w:tcPr>
            <w:tcW w:w="3187" w:type="pct"/>
          </w:tcPr>
          <w:p w14:paraId="542A9026">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冷鲜肉（猪牛羊鸡鸭鹅）</w:t>
            </w:r>
          </w:p>
        </w:tc>
      </w:tr>
      <w:tr w14:paraId="5E02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12" w:type="pct"/>
          </w:tcPr>
          <w:p w14:paraId="1909EC01">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分包4</w:t>
            </w:r>
          </w:p>
        </w:tc>
        <w:tc>
          <w:tcPr>
            <w:tcW w:w="3187" w:type="pct"/>
          </w:tcPr>
          <w:p w14:paraId="25F43DB0">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冷冻制品（含冷冻家禽）</w:t>
            </w:r>
          </w:p>
        </w:tc>
      </w:tr>
      <w:tr w14:paraId="47CB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12" w:type="pct"/>
          </w:tcPr>
          <w:p w14:paraId="18133960">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分包5</w:t>
            </w:r>
          </w:p>
        </w:tc>
        <w:tc>
          <w:tcPr>
            <w:tcW w:w="3187" w:type="pct"/>
          </w:tcPr>
          <w:p w14:paraId="316DF631">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豆制品</w:t>
            </w:r>
          </w:p>
        </w:tc>
      </w:tr>
      <w:tr w14:paraId="33CA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12" w:type="pct"/>
          </w:tcPr>
          <w:p w14:paraId="515F9761">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分包6</w:t>
            </w:r>
          </w:p>
        </w:tc>
        <w:tc>
          <w:tcPr>
            <w:tcW w:w="3187" w:type="pct"/>
          </w:tcPr>
          <w:p w14:paraId="39ED0C49">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蔬菜</w:t>
            </w:r>
          </w:p>
        </w:tc>
      </w:tr>
      <w:tr w14:paraId="2FF3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12" w:type="pct"/>
          </w:tcPr>
          <w:p w14:paraId="73805246">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分包7</w:t>
            </w:r>
          </w:p>
        </w:tc>
        <w:tc>
          <w:tcPr>
            <w:tcW w:w="3187" w:type="pct"/>
          </w:tcPr>
          <w:p w14:paraId="5B7932C0">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干货调味品</w:t>
            </w:r>
          </w:p>
        </w:tc>
      </w:tr>
      <w:tr w14:paraId="7CA2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12" w:type="pct"/>
          </w:tcPr>
          <w:p w14:paraId="49521BC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分包8</w:t>
            </w:r>
          </w:p>
        </w:tc>
        <w:tc>
          <w:tcPr>
            <w:tcW w:w="3187" w:type="pct"/>
          </w:tcPr>
          <w:p w14:paraId="4B51A55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奶制品</w:t>
            </w:r>
          </w:p>
        </w:tc>
      </w:tr>
    </w:tbl>
    <w:p w14:paraId="59296B13">
      <w:pPr>
        <w:pStyle w:val="14"/>
        <w:pageBreakBefore w:val="0"/>
        <w:widowControl w:val="0"/>
        <w:numPr>
          <w:ilvl w:val="0"/>
          <w:numId w:val="1"/>
        </w:numPr>
        <w:kinsoku/>
        <w:wordWrap/>
        <w:overflowPunct/>
        <w:topLinePunct w:val="0"/>
        <w:autoSpaceDE/>
        <w:autoSpaceDN/>
        <w:bidi w:val="0"/>
        <w:adjustRightInd/>
        <w:snapToGrid/>
        <w:spacing w:before="120" w:after="120" w:line="360" w:lineRule="auto"/>
        <w:ind w:firstLine="562" w:firstLineChars="200"/>
        <w:textAlignment w:val="auto"/>
        <w:rPr>
          <w:rFonts w:hint="eastAsia" w:ascii="仿宋" w:hAnsi="仿宋" w:eastAsia="仿宋" w:cs="仿宋"/>
          <w:b/>
          <w:bCs/>
          <w:sz w:val="28"/>
          <w:szCs w:val="28"/>
          <w:highlight w:val="none"/>
        </w:rPr>
      </w:pPr>
      <w:bookmarkStart w:id="1" w:name="_Toc28359003"/>
      <w:bookmarkStart w:id="2" w:name="_Toc38985264"/>
      <w:bookmarkStart w:id="3" w:name="_Toc35393622"/>
      <w:bookmarkStart w:id="4" w:name="_Toc28359080"/>
      <w:bookmarkStart w:id="5" w:name="_Toc35393791"/>
      <w:r>
        <w:rPr>
          <w:rFonts w:hint="eastAsia" w:ascii="仿宋" w:hAnsi="仿宋" w:eastAsia="仿宋" w:cs="仿宋"/>
          <w:b/>
          <w:bCs/>
          <w:sz w:val="28"/>
          <w:szCs w:val="28"/>
          <w:highlight w:val="none"/>
        </w:rPr>
        <w:t>供应商资格要求</w:t>
      </w:r>
      <w:bookmarkEnd w:id="1"/>
      <w:bookmarkEnd w:id="2"/>
      <w:bookmarkEnd w:id="3"/>
      <w:bookmarkEnd w:id="4"/>
      <w:bookmarkEnd w:id="5"/>
    </w:p>
    <w:p w14:paraId="086ADE02">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bookmarkStart w:id="6" w:name="_Toc28359081"/>
      <w:bookmarkStart w:id="7" w:name="_Toc28359004"/>
      <w:bookmarkStart w:id="8" w:name="_Toc38985265"/>
      <w:bookmarkStart w:id="9" w:name="_Toc35393792"/>
      <w:bookmarkStart w:id="10" w:name="_Toc35393623"/>
      <w:r>
        <w:rPr>
          <w:rFonts w:hint="eastAsia" w:ascii="仿宋" w:hAnsi="仿宋" w:eastAsia="仿宋" w:cs="仿宋"/>
          <w:sz w:val="28"/>
          <w:szCs w:val="28"/>
          <w:highlight w:val="none"/>
        </w:rPr>
        <w:t>供应商须为《南京市建邺区2024-2026学年度中小学、幼儿园大宗食材配送协议供货集中采购》对应品项入选供应商，提供《入选通知书》复印件并加盖公章。</w:t>
      </w:r>
    </w:p>
    <w:bookmarkEnd w:id="6"/>
    <w:bookmarkEnd w:id="7"/>
    <w:bookmarkEnd w:id="8"/>
    <w:bookmarkEnd w:id="9"/>
    <w:bookmarkEnd w:id="10"/>
    <w:p w14:paraId="4484B670">
      <w:pPr>
        <w:pStyle w:val="14"/>
        <w:pageBreakBefore w:val="0"/>
        <w:widowControl w:val="0"/>
        <w:numPr>
          <w:ilvl w:val="0"/>
          <w:numId w:val="1"/>
        </w:numPr>
        <w:kinsoku/>
        <w:wordWrap/>
        <w:overflowPunct/>
        <w:topLinePunct w:val="0"/>
        <w:autoSpaceDE/>
        <w:autoSpaceDN/>
        <w:bidi w:val="0"/>
        <w:adjustRightInd/>
        <w:snapToGrid/>
        <w:spacing w:before="120" w:after="120" w:line="360" w:lineRule="auto"/>
        <w:ind w:firstLine="562" w:firstLineChars="200"/>
        <w:textAlignment w:val="auto"/>
        <w:rPr>
          <w:rFonts w:hint="eastAsia" w:ascii="仿宋" w:hAnsi="仿宋" w:eastAsia="仿宋" w:cs="仿宋"/>
          <w:b/>
          <w:bCs/>
          <w:sz w:val="28"/>
          <w:szCs w:val="28"/>
          <w:highlight w:val="none"/>
        </w:rPr>
      </w:pPr>
      <w:bookmarkStart w:id="11" w:name="_Toc38985266"/>
      <w:bookmarkStart w:id="12" w:name="_Toc35393624"/>
      <w:bookmarkStart w:id="13" w:name="_Toc28359005"/>
      <w:bookmarkStart w:id="14" w:name="_Toc28359082"/>
      <w:bookmarkStart w:id="15" w:name="_Toc35393793"/>
      <w:r>
        <w:rPr>
          <w:rFonts w:hint="eastAsia" w:ascii="仿宋" w:hAnsi="仿宋" w:eastAsia="仿宋" w:cs="仿宋"/>
          <w:b/>
          <w:bCs/>
          <w:sz w:val="28"/>
          <w:szCs w:val="28"/>
          <w:highlight w:val="none"/>
        </w:rPr>
        <w:t>报名时间（扫码下方二维码进行报名登记）</w:t>
      </w:r>
    </w:p>
    <w:p w14:paraId="26D83F58">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2024年</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03</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rPr>
        <w:t>日（上午9：00-11：30，下午13：30-16：30）。（请扫码报名）</w:t>
      </w:r>
    </w:p>
    <w:p w14:paraId="2A5C8033">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bookmarkStart w:id="24" w:name="_GoBack"/>
      <w:r>
        <w:rPr>
          <w:rFonts w:hint="eastAsia" w:ascii="仿宋" w:hAnsi="仿宋" w:eastAsia="仿宋" w:cs="仿宋"/>
          <w:sz w:val="28"/>
          <w:szCs w:val="28"/>
          <w:highlight w:val="none"/>
          <w:lang w:eastAsia="zh-CN"/>
        </w:rPr>
        <w:drawing>
          <wp:inline distT="0" distB="0" distL="114300" distR="114300">
            <wp:extent cx="3048000" cy="3048000"/>
            <wp:effectExtent l="0" t="0" r="0" b="0"/>
            <wp:docPr id="3" name="图片 3" descr="报名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报名马"/>
                    <pic:cNvPicPr>
                      <a:picLocks noChangeAspect="1"/>
                    </pic:cNvPicPr>
                  </pic:nvPicPr>
                  <pic:blipFill>
                    <a:blip r:embed="rId6"/>
                    <a:stretch>
                      <a:fillRect/>
                    </a:stretch>
                  </pic:blipFill>
                  <pic:spPr>
                    <a:xfrm>
                      <a:off x="0" y="0"/>
                      <a:ext cx="3048000" cy="3048000"/>
                    </a:xfrm>
                    <a:prstGeom prst="rect">
                      <a:avLst/>
                    </a:prstGeom>
                  </pic:spPr>
                </pic:pic>
              </a:graphicData>
            </a:graphic>
          </wp:inline>
        </w:drawing>
      </w:r>
      <w:bookmarkEnd w:id="24"/>
    </w:p>
    <w:p w14:paraId="06DD5245">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供应商请务必仔细核对报名信息</w:t>
      </w:r>
    </w:p>
    <w:bookmarkEnd w:id="11"/>
    <w:bookmarkEnd w:id="12"/>
    <w:bookmarkEnd w:id="13"/>
    <w:bookmarkEnd w:id="14"/>
    <w:bookmarkEnd w:id="15"/>
    <w:p w14:paraId="55B89CFB">
      <w:pPr>
        <w:pStyle w:val="14"/>
        <w:pageBreakBefore w:val="0"/>
        <w:widowControl w:val="0"/>
        <w:numPr>
          <w:ilvl w:val="0"/>
          <w:numId w:val="1"/>
        </w:numPr>
        <w:kinsoku/>
        <w:wordWrap/>
        <w:overflowPunct/>
        <w:topLinePunct w:val="0"/>
        <w:autoSpaceDE/>
        <w:autoSpaceDN/>
        <w:bidi w:val="0"/>
        <w:adjustRightInd/>
        <w:snapToGrid/>
        <w:spacing w:before="120" w:after="120" w:line="360" w:lineRule="auto"/>
        <w:ind w:firstLine="562" w:firstLineChars="200"/>
        <w:textAlignment w:val="auto"/>
        <w:rPr>
          <w:rFonts w:hint="eastAsia" w:ascii="仿宋" w:hAnsi="仿宋" w:eastAsia="仿宋" w:cs="仿宋"/>
          <w:b/>
          <w:bCs/>
          <w:sz w:val="28"/>
          <w:szCs w:val="28"/>
          <w:highlight w:val="none"/>
        </w:rPr>
      </w:pPr>
      <w:bookmarkStart w:id="16" w:name="_Toc35393626"/>
      <w:bookmarkStart w:id="17" w:name="_Toc38985268"/>
      <w:bookmarkStart w:id="18" w:name="_Toc35393795"/>
      <w:r>
        <w:rPr>
          <w:rFonts w:hint="eastAsia" w:ascii="仿宋" w:hAnsi="仿宋" w:eastAsia="仿宋" w:cs="仿宋"/>
          <w:b/>
          <w:bCs/>
          <w:sz w:val="28"/>
          <w:szCs w:val="28"/>
          <w:highlight w:val="none"/>
        </w:rPr>
        <w:t>投标资料递交时间及方式</w:t>
      </w:r>
    </w:p>
    <w:p w14:paraId="055AF695">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0将投标资料送至“片区联合体”牵头学校（</w:t>
      </w:r>
      <w:r>
        <w:rPr>
          <w:rFonts w:hint="eastAsia" w:ascii="仿宋" w:hAnsi="仿宋" w:eastAsia="仿宋" w:cs="仿宋"/>
          <w:sz w:val="28"/>
          <w:szCs w:val="28"/>
          <w:highlight w:val="none"/>
          <w:lang w:eastAsia="zh-CN"/>
        </w:rPr>
        <w:t>南京师范大学附属中学新城初级中学</w:t>
      </w:r>
      <w:r>
        <w:rPr>
          <w:rFonts w:hint="eastAsia" w:ascii="仿宋" w:hAnsi="仿宋" w:eastAsia="仿宋" w:cs="仿宋"/>
          <w:sz w:val="28"/>
          <w:szCs w:val="28"/>
          <w:highlight w:val="none"/>
        </w:rPr>
        <w:t>），过时视为自动放弃投标。</w:t>
      </w:r>
    </w:p>
    <w:p w14:paraId="6BAD1A25">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 系 人：刘主任</w:t>
      </w:r>
    </w:p>
    <w:p w14:paraId="27C34BA5">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联系电话：15950588487</w:t>
      </w:r>
    </w:p>
    <w:p w14:paraId="783829C1">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lang w:eastAsia="zh-CN"/>
        </w:rPr>
        <w:t>南京市建邺区黄山路123号</w:t>
      </w:r>
    </w:p>
    <w:p w14:paraId="647C47B1">
      <w:pPr>
        <w:pStyle w:val="14"/>
        <w:pageBreakBefore w:val="0"/>
        <w:widowControl w:val="0"/>
        <w:numPr>
          <w:ilvl w:val="0"/>
          <w:numId w:val="1"/>
        </w:numPr>
        <w:kinsoku/>
        <w:wordWrap/>
        <w:overflowPunct/>
        <w:topLinePunct w:val="0"/>
        <w:autoSpaceDE/>
        <w:autoSpaceDN/>
        <w:bidi w:val="0"/>
        <w:adjustRightInd/>
        <w:snapToGrid/>
        <w:spacing w:before="120" w:after="120" w:line="360" w:lineRule="auto"/>
        <w:ind w:left="0"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评审时间、地点</w:t>
      </w:r>
    </w:p>
    <w:p w14:paraId="59E59715">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评审开始时间：202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lang w:val="en-US" w:eastAsia="zh-CN"/>
        </w:rPr>
        <w:t>下</w:t>
      </w:r>
      <w:r>
        <w:rPr>
          <w:rFonts w:hint="eastAsia" w:ascii="仿宋" w:hAnsi="仿宋" w:eastAsia="仿宋" w:cs="仿宋"/>
          <w:sz w:val="28"/>
          <w:szCs w:val="28"/>
          <w:highlight w:val="none"/>
        </w:rPr>
        <w:t>午</w:t>
      </w:r>
      <w:r>
        <w:rPr>
          <w:rFonts w:hint="eastAsia" w:ascii="仿宋" w:hAnsi="仿宋" w:eastAsia="仿宋" w:cs="仿宋"/>
          <w:sz w:val="28"/>
          <w:szCs w:val="28"/>
          <w:highlight w:val="none"/>
          <w:lang w:val="en-US" w:eastAsia="zh-CN"/>
        </w:rPr>
        <w:t>13:30</w:t>
      </w:r>
      <w:r>
        <w:rPr>
          <w:rFonts w:hint="eastAsia" w:ascii="仿宋" w:hAnsi="仿宋" w:eastAsia="仿宋" w:cs="仿宋"/>
          <w:sz w:val="28"/>
          <w:szCs w:val="28"/>
          <w:highlight w:val="none"/>
        </w:rPr>
        <w:t>时</w:t>
      </w:r>
    </w:p>
    <w:p w14:paraId="5D9F6EB2">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评审地点：</w:t>
      </w:r>
      <w:r>
        <w:rPr>
          <w:rFonts w:hint="eastAsia" w:ascii="仿宋" w:hAnsi="仿宋" w:eastAsia="仿宋" w:cs="仿宋"/>
          <w:sz w:val="28"/>
          <w:szCs w:val="28"/>
          <w:highlight w:val="none"/>
          <w:lang w:eastAsia="zh-CN"/>
        </w:rPr>
        <w:t>南京师范大学附属中学新城初级中学（南京市建邺区黄山路123号）</w:t>
      </w:r>
    </w:p>
    <w:p w14:paraId="683CD43A">
      <w:pPr>
        <w:pStyle w:val="14"/>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562" w:firstLineChars="200"/>
        <w:textAlignment w:val="auto"/>
        <w:rPr>
          <w:rFonts w:hint="eastAsia" w:ascii="仿宋" w:hAnsi="仿宋" w:eastAsia="仿宋" w:cs="仿宋"/>
          <w:b/>
          <w:bCs/>
          <w:sz w:val="28"/>
          <w:szCs w:val="28"/>
          <w:highlight w:val="none"/>
        </w:rPr>
      </w:pPr>
      <w:r>
        <w:rPr>
          <w:rFonts w:hint="default" w:ascii="仿宋" w:hAnsi="仿宋" w:eastAsia="仿宋" w:cs="仿宋"/>
          <w:b/>
          <w:bCs/>
          <w:sz w:val="28"/>
          <w:szCs w:val="28"/>
          <w:highlight w:val="none"/>
          <w:lang w:val="en-US" w:eastAsia="zh-CN" w:bidi="ar-SA"/>
        </w:rPr>
        <w:t>六、</w:t>
      </w:r>
      <w:r>
        <w:rPr>
          <w:rFonts w:hint="eastAsia" w:ascii="仿宋" w:hAnsi="仿宋" w:eastAsia="仿宋" w:cs="仿宋"/>
          <w:b/>
          <w:bCs/>
          <w:sz w:val="28"/>
          <w:szCs w:val="28"/>
          <w:highlight w:val="none"/>
        </w:rPr>
        <w:t>评标委员会</w:t>
      </w:r>
    </w:p>
    <w:p w14:paraId="508AADB3">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由“片区联合体”</w:t>
      </w:r>
      <w:r>
        <w:rPr>
          <w:rFonts w:hint="eastAsia" w:ascii="仿宋" w:hAnsi="仿宋" w:eastAsia="仿宋" w:cs="仿宋"/>
          <w:b/>
          <w:bCs/>
          <w:sz w:val="28"/>
          <w:szCs w:val="28"/>
          <w:highlight w:val="none"/>
        </w:rPr>
        <w:t>各学校2名家长代表</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1名教师代表组成</w:t>
      </w:r>
      <w:r>
        <w:rPr>
          <w:rFonts w:hint="eastAsia" w:ascii="仿宋" w:hAnsi="仿宋" w:eastAsia="仿宋" w:cs="仿宋"/>
          <w:sz w:val="28"/>
          <w:szCs w:val="28"/>
          <w:highlight w:val="none"/>
        </w:rPr>
        <w:t>，各校党支部安排</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名纪律委员全程监督(</w:t>
      </w:r>
      <w:r>
        <w:rPr>
          <w:rFonts w:hint="eastAsia" w:ascii="仿宋" w:hAnsi="仿宋" w:eastAsia="仿宋" w:cs="仿宋"/>
          <w:sz w:val="28"/>
          <w:szCs w:val="28"/>
          <w:highlight w:val="none"/>
          <w:lang w:val="en-US" w:eastAsia="zh-CN"/>
        </w:rPr>
        <w:t>由1名家长代表、1名教师代表组成，</w:t>
      </w:r>
      <w:r>
        <w:rPr>
          <w:rFonts w:hint="eastAsia" w:ascii="仿宋" w:hAnsi="仿宋" w:eastAsia="仿宋" w:cs="仿宋"/>
          <w:sz w:val="28"/>
          <w:szCs w:val="28"/>
          <w:highlight w:val="none"/>
        </w:rPr>
        <w:t>监督人员不参加评分)。</w:t>
      </w:r>
    </w:p>
    <w:p w14:paraId="0077DA0F">
      <w:pPr>
        <w:pStyle w:val="14"/>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562" w:firstLineChars="200"/>
        <w:textAlignment w:val="auto"/>
        <w:rPr>
          <w:rFonts w:hint="eastAsia" w:ascii="仿宋" w:hAnsi="仿宋" w:eastAsia="仿宋" w:cs="仿宋"/>
          <w:b/>
          <w:bCs/>
          <w:sz w:val="28"/>
          <w:szCs w:val="28"/>
          <w:highlight w:val="none"/>
        </w:rPr>
      </w:pPr>
      <w:r>
        <w:rPr>
          <w:rFonts w:hint="default" w:ascii="仿宋" w:hAnsi="仿宋" w:eastAsia="仿宋" w:cs="仿宋"/>
          <w:b/>
          <w:bCs/>
          <w:sz w:val="28"/>
          <w:szCs w:val="28"/>
          <w:highlight w:val="none"/>
          <w:lang w:val="en-US" w:eastAsia="zh-CN" w:bidi="ar-SA"/>
        </w:rPr>
        <w:t>七、</w:t>
      </w:r>
      <w:r>
        <w:rPr>
          <w:rFonts w:hint="eastAsia" w:ascii="仿宋" w:hAnsi="仿宋" w:eastAsia="仿宋" w:cs="仿宋"/>
          <w:b/>
          <w:bCs/>
          <w:sz w:val="28"/>
          <w:szCs w:val="28"/>
          <w:highlight w:val="none"/>
        </w:rPr>
        <w:t>评分标准</w:t>
      </w:r>
    </w:p>
    <w:p w14:paraId="6077F4B8">
      <w:pPr>
        <w:pStyle w:val="14"/>
        <w:pageBreakBefore w:val="0"/>
        <w:widowControl w:val="0"/>
        <w:kinsoku/>
        <w:wordWrap/>
        <w:overflowPunct/>
        <w:topLinePunct w:val="0"/>
        <w:autoSpaceDE/>
        <w:autoSpaceDN/>
        <w:bidi w:val="0"/>
        <w:adjustRightInd/>
        <w:snapToGrid/>
        <w:spacing w:before="120" w:after="120"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采用综合评分法，评标结果按评审后得分由高到低顺序排列。得分相同的，按投标报价由低到高顺序排列。得分且投标报价相同的，按“评分标准中第2-3项”得分由高到低顺序排列。每个分包项目</w:t>
      </w:r>
      <w:r>
        <w:rPr>
          <w:rFonts w:hint="eastAsia" w:ascii="仿宋" w:hAnsi="仿宋" w:eastAsia="仿宋" w:cs="仿宋"/>
          <w:b/>
          <w:bCs/>
          <w:sz w:val="28"/>
          <w:highlight w:val="none"/>
        </w:rPr>
        <w:t>总分排名第一的为本次</w:t>
      </w:r>
      <w:r>
        <w:rPr>
          <w:rFonts w:hint="eastAsia" w:ascii="仿宋" w:hAnsi="仿宋" w:eastAsia="仿宋" w:cs="仿宋"/>
          <w:b/>
          <w:bCs/>
          <w:sz w:val="28"/>
          <w:szCs w:val="28"/>
          <w:highlight w:val="none"/>
        </w:rPr>
        <w:t>中标供应商（第二名</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第三名</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第四名及第五名</w:t>
      </w:r>
      <w:r>
        <w:rPr>
          <w:rFonts w:hint="eastAsia" w:ascii="仿宋" w:hAnsi="仿宋" w:eastAsia="仿宋" w:cs="仿宋"/>
          <w:b/>
          <w:bCs/>
          <w:sz w:val="28"/>
          <w:szCs w:val="28"/>
          <w:highlight w:val="none"/>
        </w:rPr>
        <w:t>备选，也同时成为学校替补供应商）</w:t>
      </w:r>
      <w:r>
        <w:rPr>
          <w:rFonts w:hint="eastAsia" w:ascii="仿宋" w:hAnsi="仿宋" w:eastAsia="仿宋" w:cs="仿宋"/>
          <w:b/>
          <w:bCs/>
          <w:sz w:val="28"/>
          <w:highlight w:val="none"/>
        </w:rPr>
        <w:t>。</w:t>
      </w:r>
    </w:p>
    <w:p w14:paraId="2F9B843C">
      <w:pPr>
        <w:pStyle w:val="15"/>
        <w:rPr>
          <w:rFonts w:hint="eastAsia"/>
          <w:highlight w:val="none"/>
          <w:lang w:val="en-US" w:eastAsia="zh-CN"/>
        </w:rPr>
      </w:pPr>
      <w:r>
        <w:rPr>
          <w:rFonts w:hint="eastAsia" w:ascii="仿宋" w:hAnsi="仿宋" w:eastAsia="仿宋" w:cs="仿宋"/>
          <w:b/>
          <w:bCs/>
          <w:sz w:val="28"/>
          <w:highlight w:val="none"/>
          <w:lang w:val="en-US" w:eastAsia="zh-CN"/>
        </w:rPr>
        <w:t>★单个供应商在单个“片区联合体”中标分包最多不超过三个。</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90"/>
        <w:gridCol w:w="5070"/>
        <w:gridCol w:w="1312"/>
      </w:tblGrid>
      <w:tr w14:paraId="60A6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ABEED8D">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序号</w:t>
            </w:r>
          </w:p>
        </w:tc>
        <w:tc>
          <w:tcPr>
            <w:tcW w:w="1390" w:type="dxa"/>
            <w:vAlign w:val="center"/>
          </w:tcPr>
          <w:p w14:paraId="3A08D781">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评分因素</w:t>
            </w:r>
          </w:p>
        </w:tc>
        <w:tc>
          <w:tcPr>
            <w:tcW w:w="5070" w:type="dxa"/>
            <w:vAlign w:val="center"/>
          </w:tcPr>
          <w:p w14:paraId="385F9214">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评分标准</w:t>
            </w:r>
          </w:p>
        </w:tc>
        <w:tc>
          <w:tcPr>
            <w:tcW w:w="1312" w:type="dxa"/>
            <w:vAlign w:val="center"/>
          </w:tcPr>
          <w:p w14:paraId="0176E885">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分值</w:t>
            </w:r>
          </w:p>
        </w:tc>
      </w:tr>
      <w:tr w14:paraId="7351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06F9232">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w:t>
            </w:r>
          </w:p>
        </w:tc>
        <w:tc>
          <w:tcPr>
            <w:tcW w:w="1390" w:type="dxa"/>
            <w:vAlign w:val="center"/>
          </w:tcPr>
          <w:p w14:paraId="292BCD5A">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价格</w:t>
            </w:r>
          </w:p>
        </w:tc>
        <w:tc>
          <w:tcPr>
            <w:tcW w:w="5070" w:type="dxa"/>
          </w:tcPr>
          <w:p w14:paraId="7229BEB8">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采用低价优先法计算，即满足招标文件要求且投标平均折扣最低的投标报价费率为评标基准价，其价格分为满分。具体要求如下：</w:t>
            </w:r>
          </w:p>
          <w:p w14:paraId="0B5EDD7C">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粮、食用油、冷冻制品（含冷冻家禽）、豆制品、干货调味品、奶制品品类投标平均折扣：（1-区教育局中标平均折扣率）*本次线下竞价招标折扣，最低投标报价费率为评标基准价，其价格份为满分。其他供应商的价格分统一按照下列公式计算(小数点后保留二位):投标报得分=(评标基准价/投标报价)*80分。举例:所有投标单位报价中有一家平均折扣为70%，且为最低，则将其作为评标基准价，该商家得满分80分;另一家报81%的商家投标报价得分=70%÷81%*80=69.14分，保留2位小数)</w:t>
            </w:r>
          </w:p>
          <w:p w14:paraId="227EED43">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冷鲜肉（猪牛羊鸡鸭鹅）、蔬菜等品类投标折扣：【1-区教育局中标平均折扣率（发改委公布品类）】*本次线下竞价平均折扣*0.6+【1-区教育局中标平均折扣率（非发改委公布品类）】*本次线下竞价招标折扣*0.4。最后所得最低投标报价费率为评标基准价，其价格份为满分。其他供应商的价格分统一按照下列公式计算(小数点后保留二位):投标报得分=(评标基准价/投标报价)*80分。举例:所有投标单位报价中有一家平均折扣为70%，且为最低，则将其作为评标基准价，该商家得满分80分;另一家报81%的商家投标报价得分=70%÷81%*80=69.14分，保留2位小数)</w:t>
            </w:r>
          </w:p>
          <w:p w14:paraId="42C33D4B">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default" w:ascii="仿宋" w:hAnsi="仿宋" w:eastAsia="仿宋" w:cs="仿宋"/>
                <w:sz w:val="24"/>
                <w:szCs w:val="24"/>
                <w:highlight w:val="none"/>
                <w:lang w:val="en-US" w:eastAsia="zh-CN"/>
              </w:rPr>
              <w:t>所有平均折扣报价，需提供完整计算公式（加盖公章）。举例：</w:t>
            </w: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粮、食用油、冷冻制品（含冷冻家禽）、豆制品、干货调味品、奶制品品类投标平均折扣：（1-10%）*85%=76.5%</w:t>
            </w:r>
          </w:p>
          <w:p w14:paraId="0186C138">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冷鲜肉（猪牛羊鸡鸭鹅）、蔬菜等品类投标折扣：【1-10%（发改委公布品类）】*85%*0.6+【1-20%（非发改委公布品类）】*90%*0.4=74.7%</w:t>
            </w:r>
          </w:p>
        </w:tc>
        <w:tc>
          <w:tcPr>
            <w:tcW w:w="1312" w:type="dxa"/>
            <w:vAlign w:val="center"/>
          </w:tcPr>
          <w:p w14:paraId="23E9C1EF">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80分</w:t>
            </w:r>
          </w:p>
        </w:tc>
      </w:tr>
      <w:tr w14:paraId="5265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9D292B8">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w:t>
            </w:r>
          </w:p>
        </w:tc>
        <w:tc>
          <w:tcPr>
            <w:tcW w:w="1390" w:type="dxa"/>
            <w:vAlign w:val="center"/>
          </w:tcPr>
          <w:p w14:paraId="69394975">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履约能力</w:t>
            </w:r>
          </w:p>
        </w:tc>
        <w:tc>
          <w:tcPr>
            <w:tcW w:w="5070" w:type="dxa"/>
          </w:tcPr>
          <w:p w14:paraId="702D60D8">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评委根据投标供应商的履约能力综合评分。</w:t>
            </w:r>
          </w:p>
          <w:p w14:paraId="5A33589D">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1.投标供应商应承诺中标后实际配送和投标时提供的车辆信息保持一致，否则学校有权利直接解除合同。（提供承诺书加盖公章）。</w:t>
            </w:r>
          </w:p>
          <w:p w14:paraId="3915F4D4">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粮、食用油、干货调味品、蔬菜分包根据供应商提供的自有或租赁的配送车辆情况综合评分：</w:t>
            </w:r>
          </w:p>
          <w:p w14:paraId="2C35A2B8">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在有三辆配送车的基础上，供应商每增加一辆得1分，最多得4分。</w:t>
            </w:r>
          </w:p>
          <w:p w14:paraId="5BD88C35">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注：若为自有车辆，须提供车辆明细清单和《机动车行驶证》或《机动车登记证》等相关证明材料复印件加盖供应商公章；若为租赁车辆，须提供租赁合同及租赁发票复印件并加盖供应商公章，租赁合同需呈现租赁车辆数量和租赁车辆车牌号以及租赁车辆的《机动车行驶证》或《机动车登记证》等，证明材料须清晰体现相关内容。</w:t>
            </w:r>
          </w:p>
          <w:p w14:paraId="35836785">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2.冷鲜肉（猪牛羊鸡鸭鹅）、冷冻制品（含冷冻家禽）、豆制品、奶制品类分包根据供应商提供的自有或租赁的配送冷藏/冷链车辆情况综合评分：</w:t>
            </w:r>
          </w:p>
          <w:p w14:paraId="0F412C0F">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在有三辆冷藏/冷链车的基础上，供应商每增加一辆得1分，最多得4分。</w:t>
            </w:r>
          </w:p>
          <w:p w14:paraId="6C380AB9">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注：若为自有车辆，须提供车辆明细清单、《机动车行驶证》或《机动车登记证》等相关证明材料复印件加盖供应商公章；若为租赁车辆，须提供租赁合同及租赁发票，租赁合同需有租赁车辆数量和租赁车辆车牌号以及租赁车辆的《机动车行驶证》或《机动车登记证》等，证明材料须清晰体现相关内容。</w:t>
            </w:r>
          </w:p>
        </w:tc>
        <w:tc>
          <w:tcPr>
            <w:tcW w:w="1312" w:type="dxa"/>
            <w:vAlign w:val="center"/>
          </w:tcPr>
          <w:p w14:paraId="106F9CBB">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4分</w:t>
            </w:r>
          </w:p>
        </w:tc>
      </w:tr>
      <w:tr w14:paraId="1929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931835A">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w:t>
            </w:r>
          </w:p>
        </w:tc>
        <w:tc>
          <w:tcPr>
            <w:tcW w:w="1390" w:type="dxa"/>
            <w:vAlign w:val="center"/>
          </w:tcPr>
          <w:p w14:paraId="4E9B27B3">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业绩</w:t>
            </w:r>
          </w:p>
        </w:tc>
        <w:tc>
          <w:tcPr>
            <w:tcW w:w="5070" w:type="dxa"/>
          </w:tcPr>
          <w:p w14:paraId="5FD87C37">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供应当日就餐800人以上（或多个学校累计达到800人以上）的学校，每提供一项得2分，最高得6分。</w:t>
            </w:r>
          </w:p>
          <w:p w14:paraId="24E224B5">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须提供合同复印件加盖公章以及学校盖章证明（格式自拟）。</w:t>
            </w:r>
          </w:p>
        </w:tc>
        <w:tc>
          <w:tcPr>
            <w:tcW w:w="1312" w:type="dxa"/>
            <w:vAlign w:val="center"/>
          </w:tcPr>
          <w:p w14:paraId="3189E3F1">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6分</w:t>
            </w:r>
          </w:p>
        </w:tc>
      </w:tr>
      <w:tr w14:paraId="06D6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10B1733">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w:t>
            </w:r>
          </w:p>
        </w:tc>
        <w:tc>
          <w:tcPr>
            <w:tcW w:w="1390" w:type="dxa"/>
            <w:vAlign w:val="center"/>
          </w:tcPr>
          <w:p w14:paraId="1EE72E41">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品牌优势</w:t>
            </w:r>
          </w:p>
        </w:tc>
        <w:tc>
          <w:tcPr>
            <w:tcW w:w="5070" w:type="dxa"/>
          </w:tcPr>
          <w:p w14:paraId="6FEF4982">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由评标委员会成员根据供应商所投内容综合考虑食材品牌知名度、生产企业保障、食材质量和食品安全能力、食材品质等因素裁量确定：</w:t>
            </w:r>
          </w:p>
          <w:p w14:paraId="201187EA">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代理机构汇总品牌名称，按照分包逐一报给评标委员会，由评标委员会一致确定每个品牌分数，每个品牌最多不超过3分（须为整数），再由代理机构进行分数计算。</w:t>
            </w:r>
          </w:p>
          <w:p w14:paraId="29908173">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如遇供应商单个分包投标品牌较多的情况时由评标委员会选择三个主流品牌进行计分；</w:t>
            </w:r>
          </w:p>
          <w:p w14:paraId="030A0492">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如遇无法提供品牌的分包（如：蔬菜、冷鲜肉（猪牛羊鸡鸭鹅）、冷冻制品（含冷冻家禽））则该项为满分，此项总分最高得10分。</w:t>
            </w:r>
          </w:p>
          <w:p w14:paraId="6E3E56E9">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注：供应商在投递每分包标书时，需单独提供一份品牌汇总表，注明分包以及单位名称（格式自拟）；</w:t>
            </w:r>
          </w:p>
          <w:p w14:paraId="3508DF9C">
            <w:pPr>
              <w:spacing w:line="360" w:lineRule="auto"/>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供应商所投品牌、生产厂家须与《南京市建邺区2024-2026学年度中小学、幼儿园大宗食材配送协议供货集中采购》入围资料一致，否则按无效投标处理。</w:t>
            </w:r>
          </w:p>
        </w:tc>
        <w:tc>
          <w:tcPr>
            <w:tcW w:w="1312" w:type="dxa"/>
            <w:vAlign w:val="center"/>
          </w:tcPr>
          <w:p w14:paraId="3528665E">
            <w:pPr>
              <w:spacing w:line="360" w:lineRule="auto"/>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10分</w:t>
            </w:r>
          </w:p>
        </w:tc>
      </w:tr>
      <w:bookmarkEnd w:id="16"/>
      <w:bookmarkEnd w:id="17"/>
      <w:bookmarkEnd w:id="18"/>
    </w:tbl>
    <w:p w14:paraId="0D6D4F64">
      <w:pPr>
        <w:pStyle w:val="14"/>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562" w:firstLineChars="200"/>
        <w:textAlignment w:val="auto"/>
        <w:rPr>
          <w:rFonts w:hint="eastAsia" w:ascii="仿宋" w:hAnsi="仿宋" w:eastAsia="仿宋" w:cs="仿宋"/>
          <w:b/>
          <w:bCs/>
          <w:sz w:val="28"/>
          <w:szCs w:val="28"/>
          <w:highlight w:val="none"/>
        </w:rPr>
      </w:pPr>
      <w:bookmarkStart w:id="19" w:name="_Toc28359085"/>
      <w:bookmarkStart w:id="20" w:name="_Toc35393796"/>
      <w:bookmarkStart w:id="21" w:name="_Toc35393627"/>
      <w:bookmarkStart w:id="22" w:name="_Toc38985269"/>
      <w:bookmarkStart w:id="23" w:name="_Toc28359008"/>
      <w:r>
        <w:rPr>
          <w:rFonts w:hint="default" w:ascii="仿宋" w:hAnsi="仿宋" w:eastAsia="仿宋" w:cs="仿宋"/>
          <w:b/>
          <w:bCs/>
          <w:sz w:val="28"/>
          <w:szCs w:val="28"/>
          <w:highlight w:val="none"/>
          <w:lang w:val="en-US" w:eastAsia="zh-CN" w:bidi="ar-SA"/>
        </w:rPr>
        <w:t>八、</w:t>
      </w:r>
      <w:r>
        <w:rPr>
          <w:rFonts w:hint="eastAsia" w:ascii="仿宋" w:hAnsi="仿宋" w:eastAsia="仿宋" w:cs="仿宋"/>
          <w:b/>
          <w:bCs/>
          <w:sz w:val="28"/>
          <w:szCs w:val="28"/>
          <w:highlight w:val="none"/>
        </w:rPr>
        <w:t>投标文件份数：</w:t>
      </w:r>
    </w:p>
    <w:p w14:paraId="5CCD2CC3">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投标纸质</w:t>
      </w:r>
      <w:r>
        <w:rPr>
          <w:rFonts w:hint="eastAsia" w:ascii="仿宋" w:hAnsi="仿宋" w:eastAsia="仿宋" w:cs="仿宋"/>
          <w:sz w:val="28"/>
          <w:szCs w:val="28"/>
          <w:highlight w:val="none"/>
          <w:lang w:val="en-US" w:eastAsia="zh-CN"/>
        </w:rPr>
        <w:t>材料</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需按分包分别进行投标</w:t>
      </w:r>
      <w:r>
        <w:rPr>
          <w:rFonts w:hint="eastAsia" w:ascii="仿宋" w:hAnsi="仿宋" w:eastAsia="仿宋" w:cs="仿宋"/>
          <w:b/>
          <w:bCs/>
          <w:sz w:val="28"/>
          <w:szCs w:val="28"/>
          <w:highlight w:val="none"/>
          <w:lang w:eastAsia="zh-CN"/>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一式十四份，一正十三副</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如有供应商投标多个分包，需按单个分包制作和密封投标文件。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报价单</w:t>
      </w:r>
      <w:r>
        <w:rPr>
          <w:rFonts w:hint="eastAsia" w:ascii="仿宋" w:hAnsi="仿宋" w:eastAsia="仿宋" w:cs="仿宋"/>
          <w:sz w:val="28"/>
          <w:szCs w:val="28"/>
          <w:highlight w:val="none"/>
        </w:rPr>
        <w:t>格式参考附件）</w:t>
      </w:r>
    </w:p>
    <w:p w14:paraId="6B83D971">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投标资料须加盖公章，</w:t>
      </w:r>
      <w:r>
        <w:rPr>
          <w:rFonts w:hint="eastAsia" w:ascii="仿宋" w:hAnsi="仿宋" w:eastAsia="仿宋" w:cs="仿宋"/>
          <w:sz w:val="28"/>
          <w:szCs w:val="28"/>
          <w:highlight w:val="none"/>
          <w:lang w:val="en-US" w:eastAsia="zh-CN"/>
        </w:rPr>
        <w:t>所投分包名称、单位名称、</w:t>
      </w:r>
      <w:r>
        <w:rPr>
          <w:rFonts w:hint="eastAsia" w:ascii="仿宋" w:hAnsi="仿宋" w:eastAsia="仿宋" w:cs="仿宋"/>
          <w:sz w:val="28"/>
          <w:szCs w:val="28"/>
          <w:highlight w:val="none"/>
        </w:rPr>
        <w:t>须</w:t>
      </w:r>
      <w:r>
        <w:rPr>
          <w:rFonts w:hint="eastAsia" w:ascii="仿宋" w:hAnsi="仿宋" w:eastAsia="仿宋" w:cs="仿宋"/>
          <w:sz w:val="28"/>
          <w:szCs w:val="28"/>
          <w:highlight w:val="none"/>
          <w:lang w:val="en-US" w:eastAsia="zh-CN"/>
        </w:rPr>
        <w:t>清晰可见，</w:t>
      </w:r>
      <w:r>
        <w:rPr>
          <w:rFonts w:hint="eastAsia" w:ascii="仿宋" w:hAnsi="仿宋" w:eastAsia="仿宋" w:cs="仿宋"/>
          <w:sz w:val="28"/>
          <w:szCs w:val="28"/>
          <w:highlight w:val="none"/>
        </w:rPr>
        <w:t>简单装订密封。</w:t>
      </w:r>
    </w:p>
    <w:p w14:paraId="6287E4A0">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电子档文件（PDF+WORD形式）放在同一个U盘内，U盘表面请注明公司名称</w:t>
      </w:r>
    </w:p>
    <w:p w14:paraId="7A20F3E3">
      <w:pPr>
        <w:pStyle w:val="14"/>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562" w:firstLineChars="200"/>
        <w:textAlignment w:val="auto"/>
        <w:rPr>
          <w:rFonts w:hint="eastAsia" w:ascii="仿宋" w:hAnsi="仿宋" w:eastAsia="仿宋" w:cs="仿宋"/>
          <w:b/>
          <w:bCs/>
          <w:sz w:val="28"/>
          <w:szCs w:val="28"/>
          <w:highlight w:val="none"/>
        </w:rPr>
      </w:pPr>
      <w:r>
        <w:rPr>
          <w:rFonts w:hint="default" w:ascii="仿宋" w:hAnsi="仿宋" w:eastAsia="仿宋" w:cs="仿宋"/>
          <w:b/>
          <w:bCs/>
          <w:sz w:val="28"/>
          <w:szCs w:val="28"/>
          <w:highlight w:val="none"/>
          <w:lang w:val="en-US" w:eastAsia="zh-CN" w:bidi="ar-SA"/>
        </w:rPr>
        <w:t>九、</w:t>
      </w:r>
      <w:r>
        <w:rPr>
          <w:rFonts w:hint="eastAsia" w:ascii="仿宋" w:hAnsi="仿宋" w:eastAsia="仿宋" w:cs="仿宋"/>
          <w:b/>
          <w:bCs/>
          <w:sz w:val="28"/>
          <w:szCs w:val="28"/>
          <w:highlight w:val="none"/>
        </w:rPr>
        <w:t>其他补充事宜</w:t>
      </w:r>
    </w:p>
    <w:p w14:paraId="5CB6A21F">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粮、食用油、冷鲜肉（猪牛羊鸡鸭鹅）品目8-73项、冷冻制品（含冷冻家禽）、干货调味品、蔬菜品目25-154项、豆制品、奶制品所有的中标供应商在全年服务期限内，根据《南京市建邺区2024-2026学年度中小学、幼儿园大宗食材配送协议供货集中采购》提供的折扣率计算参考价*（1-所投品目平均折扣率），若计算价格低于所投报价，则以“折扣率计算参考价*（1-所投品目平均折扣率）”的价格为执行价；若计算价格高于等于所投报价，则以所投报价的价格为执行价。无论市场如何变动，供应价格按招标文件要求保持不变。</w:t>
      </w:r>
    </w:p>
    <w:p w14:paraId="6F498CF2">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冷鲜肉（猪牛羊鸡鸭鹅）品目1-7项、蔬菜品目1-24项在一定周期内（周），以南京市发改委网站公布的平均价格乘以所报折扣（1-所投品目平均折扣率）作为结算价（结算价以上一周发改委公布的平均价计算），若结算价格高于南京市发改委网站公布的周平均价格*（1-所投品目折扣率）的价格，则按照南京市发改委网站公布的周平均价格*（1-所投品目折扣率）作为结算价，每月底统一结算。</w:t>
      </w:r>
    </w:p>
    <w:p w14:paraId="0CCAF70F">
      <w:pPr>
        <w:pStyle w:val="14"/>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562" w:firstLineChars="200"/>
        <w:textAlignment w:val="auto"/>
        <w:rPr>
          <w:rFonts w:hint="eastAsia" w:ascii="仿宋" w:hAnsi="仿宋" w:eastAsia="仿宋" w:cs="仿宋"/>
          <w:b/>
          <w:bCs/>
          <w:sz w:val="28"/>
          <w:szCs w:val="28"/>
          <w:highlight w:val="none"/>
        </w:rPr>
      </w:pPr>
      <w:r>
        <w:rPr>
          <w:rFonts w:hint="default" w:ascii="仿宋" w:hAnsi="仿宋" w:eastAsia="仿宋" w:cs="仿宋"/>
          <w:b/>
          <w:bCs/>
          <w:sz w:val="28"/>
          <w:szCs w:val="28"/>
          <w:highlight w:val="none"/>
          <w:lang w:val="en-US" w:eastAsia="zh-CN" w:bidi="ar-SA"/>
        </w:rPr>
        <w:t>十、</w:t>
      </w:r>
      <w:r>
        <w:rPr>
          <w:rFonts w:hint="eastAsia" w:ascii="仿宋" w:hAnsi="仿宋" w:eastAsia="仿宋" w:cs="仿宋"/>
          <w:b/>
          <w:bCs/>
          <w:sz w:val="28"/>
          <w:szCs w:val="28"/>
          <w:highlight w:val="none"/>
        </w:rPr>
        <w:t>本次采购联系方式</w:t>
      </w:r>
      <w:bookmarkEnd w:id="19"/>
      <w:bookmarkEnd w:id="20"/>
      <w:bookmarkEnd w:id="21"/>
      <w:bookmarkEnd w:id="22"/>
      <w:bookmarkEnd w:id="23"/>
    </w:p>
    <w:p w14:paraId="1B508F1F">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采购代理机构信息</w:t>
      </w:r>
    </w:p>
    <w:p w14:paraId="56B15AF9">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南京众智工程咨询有限公司</w:t>
      </w:r>
    </w:p>
    <w:p w14:paraId="166A8C09">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地    址：南京市</w:t>
      </w:r>
      <w:r>
        <w:rPr>
          <w:rFonts w:hint="eastAsia" w:ascii="仿宋" w:hAnsi="仿宋" w:eastAsia="仿宋" w:cs="仿宋"/>
          <w:sz w:val="28"/>
          <w:szCs w:val="28"/>
          <w:highlight w:val="none"/>
          <w:lang w:val="en-US" w:eastAsia="zh-CN"/>
        </w:rPr>
        <w:t>鼓楼区郑和中路中海广场</w:t>
      </w:r>
      <w:r>
        <w:rPr>
          <w:rFonts w:hint="eastAsia" w:ascii="仿宋" w:hAnsi="仿宋" w:eastAsia="仿宋" w:cs="仿宋"/>
          <w:sz w:val="28"/>
          <w:szCs w:val="28"/>
          <w:highlight w:val="none"/>
        </w:rPr>
        <w:t>A座</w:t>
      </w:r>
      <w:r>
        <w:rPr>
          <w:rFonts w:hint="eastAsia" w:ascii="仿宋" w:hAnsi="仿宋" w:eastAsia="仿宋" w:cs="仿宋"/>
          <w:sz w:val="28"/>
          <w:szCs w:val="28"/>
          <w:highlight w:val="none"/>
          <w:lang w:val="en-US" w:eastAsia="zh-CN"/>
        </w:rPr>
        <w:t>601-602</w:t>
      </w:r>
    </w:p>
    <w:p w14:paraId="6A04E0D7">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 系 人：</w:t>
      </w:r>
      <w:r>
        <w:rPr>
          <w:rFonts w:hint="eastAsia" w:ascii="仿宋" w:hAnsi="仿宋" w:eastAsia="仿宋" w:cs="仿宋"/>
          <w:sz w:val="28"/>
          <w:szCs w:val="28"/>
          <w:highlight w:val="none"/>
          <w:lang w:val="en-US" w:eastAsia="zh-CN"/>
        </w:rPr>
        <w:t>谭</w:t>
      </w:r>
      <w:r>
        <w:rPr>
          <w:rFonts w:hint="eastAsia" w:ascii="仿宋" w:hAnsi="仿宋" w:eastAsia="仿宋" w:cs="仿宋"/>
          <w:sz w:val="28"/>
          <w:szCs w:val="28"/>
          <w:highlight w:val="none"/>
        </w:rPr>
        <w:t>工</w:t>
      </w:r>
    </w:p>
    <w:p w14:paraId="5A8C92C4">
      <w:pPr>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仿宋" w:hAnsi="仿宋" w:eastAsia="仿宋" w:cs="仿宋"/>
          <w:highlight w:val="none"/>
          <w:lang w:val="en-US" w:eastAsia="zh-CN"/>
        </w:rPr>
        <w:sectPr>
          <w:headerReference r:id="rId3" w:type="default"/>
          <w:footerReference r:id="rId4" w:type="default"/>
          <w:pgSz w:w="11906" w:h="16838"/>
          <w:pgMar w:top="1440" w:right="1797" w:bottom="1440" w:left="1797" w:header="851" w:footer="992" w:gutter="0"/>
          <w:pgNumType w:fmt="decimal"/>
          <w:cols w:space="425" w:num="1"/>
          <w:docGrid w:type="lines" w:linePitch="312" w:charSpace="0"/>
        </w:sectPr>
      </w:pPr>
      <w:r>
        <w:rPr>
          <w:rFonts w:hint="eastAsia" w:ascii="仿宋" w:hAnsi="仿宋" w:eastAsia="仿宋" w:cs="仿宋"/>
          <w:sz w:val="28"/>
          <w:szCs w:val="28"/>
          <w:highlight w:val="none"/>
        </w:rPr>
        <w:t>联系电话：025-</w:t>
      </w:r>
      <w:r>
        <w:rPr>
          <w:rFonts w:hint="eastAsia" w:ascii="仿宋" w:hAnsi="仿宋" w:eastAsia="仿宋" w:cs="仿宋"/>
          <w:sz w:val="28"/>
          <w:szCs w:val="28"/>
          <w:highlight w:val="none"/>
          <w:lang w:val="en-US" w:eastAsia="zh-CN"/>
        </w:rPr>
        <w:t>52896520-20</w:t>
      </w:r>
    </w:p>
    <w:p w14:paraId="35A2009D">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附件：报价单（参照建邺区2024-2026大宗食材报价单）</w:t>
      </w:r>
    </w:p>
    <w:p w14:paraId="5D75B488">
      <w:pPr>
        <w:widowControl/>
        <w:spacing w:before="60" w:after="60" w:line="288" w:lineRule="auto"/>
        <w:jc w:val="center"/>
        <w:outlineLvl w:val="2"/>
        <w:rPr>
          <w:rFonts w:hint="eastAsia" w:ascii="仿宋" w:hAnsi="仿宋" w:eastAsia="仿宋" w:cs="仿宋"/>
          <w:b/>
          <w:sz w:val="28"/>
          <w:szCs w:val="30"/>
          <w:highlight w:val="none"/>
        </w:rPr>
      </w:pPr>
      <w:r>
        <w:rPr>
          <w:rFonts w:hint="eastAsia" w:ascii="仿宋" w:hAnsi="仿宋" w:eastAsia="仿宋" w:cs="仿宋"/>
          <w:b/>
          <w:sz w:val="28"/>
          <w:szCs w:val="30"/>
          <w:highlight w:val="none"/>
        </w:rPr>
        <w:t>例：**分包报价单</w:t>
      </w:r>
    </w:p>
    <w:p w14:paraId="26ECECBD">
      <w:pPr>
        <w:widowControl/>
        <w:spacing w:before="40" w:after="40" w:line="288" w:lineRule="auto"/>
        <w:jc w:val="center"/>
        <w:rPr>
          <w:rFonts w:hint="eastAsia" w:ascii="仿宋" w:hAnsi="仿宋" w:eastAsia="仿宋" w:cs="仿宋"/>
          <w:b/>
          <w:highlight w:val="none"/>
        </w:rPr>
      </w:pPr>
      <w:r>
        <w:rPr>
          <w:rFonts w:hint="eastAsia" w:ascii="仿宋" w:hAnsi="仿宋" w:eastAsia="仿宋" w:cs="仿宋"/>
          <w:b/>
          <w:highlight w:val="none"/>
        </w:rPr>
        <w:t>（一个报价单、每个品种限1个品牌   单位 500g/1升）</w:t>
      </w:r>
    </w:p>
    <w:tbl>
      <w:tblPr>
        <w:tblStyle w:val="8"/>
        <w:tblW w:w="56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110"/>
        <w:gridCol w:w="1352"/>
        <w:gridCol w:w="1486"/>
        <w:gridCol w:w="1591"/>
        <w:gridCol w:w="1760"/>
        <w:gridCol w:w="1760"/>
        <w:gridCol w:w="1760"/>
        <w:gridCol w:w="1700"/>
        <w:gridCol w:w="1697"/>
        <w:gridCol w:w="1053"/>
      </w:tblGrid>
      <w:tr w14:paraId="5C57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08" w:type="pct"/>
            <w:vAlign w:val="center"/>
          </w:tcPr>
          <w:p w14:paraId="25268A48">
            <w:pPr>
              <w:widowControl/>
              <w:spacing w:line="288"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348" w:type="pct"/>
            <w:vAlign w:val="center"/>
          </w:tcPr>
          <w:p w14:paraId="3620F608">
            <w:pPr>
              <w:widowControl/>
              <w:spacing w:line="288" w:lineRule="auto"/>
              <w:jc w:val="center"/>
              <w:rPr>
                <w:rFonts w:hint="eastAsia" w:ascii="仿宋" w:hAnsi="仿宋" w:eastAsia="仿宋" w:cs="仿宋"/>
                <w:highlight w:val="none"/>
              </w:rPr>
            </w:pPr>
            <w:r>
              <w:rPr>
                <w:rFonts w:hint="eastAsia" w:ascii="仿宋" w:hAnsi="仿宋" w:eastAsia="仿宋" w:cs="仿宋"/>
                <w:highlight w:val="none"/>
              </w:rPr>
              <w:t>品名</w:t>
            </w:r>
          </w:p>
        </w:tc>
        <w:tc>
          <w:tcPr>
            <w:tcW w:w="424" w:type="pct"/>
            <w:vAlign w:val="center"/>
          </w:tcPr>
          <w:p w14:paraId="5A5FA884">
            <w:pPr>
              <w:widowControl/>
              <w:spacing w:line="288" w:lineRule="auto"/>
              <w:jc w:val="center"/>
              <w:rPr>
                <w:rFonts w:hint="eastAsia" w:ascii="仿宋" w:hAnsi="仿宋" w:eastAsia="仿宋" w:cs="仿宋"/>
                <w:highlight w:val="none"/>
              </w:rPr>
            </w:pPr>
            <w:r>
              <w:rPr>
                <w:rFonts w:hint="eastAsia" w:ascii="仿宋" w:hAnsi="仿宋" w:eastAsia="仿宋" w:cs="仿宋"/>
                <w:highlight w:val="none"/>
              </w:rPr>
              <w:t>品牌</w:t>
            </w:r>
          </w:p>
          <w:p w14:paraId="4F0332A2">
            <w:pPr>
              <w:widowControl/>
              <w:spacing w:line="288" w:lineRule="auto"/>
              <w:jc w:val="center"/>
              <w:rPr>
                <w:rFonts w:hint="eastAsia" w:ascii="仿宋" w:hAnsi="仿宋" w:eastAsia="仿宋" w:cs="仿宋"/>
                <w:highlight w:val="none"/>
              </w:rPr>
            </w:pPr>
            <w:r>
              <w:rPr>
                <w:rFonts w:hint="eastAsia" w:ascii="仿宋" w:hAnsi="仿宋" w:eastAsia="仿宋" w:cs="仿宋"/>
                <w:color w:val="FF0000"/>
                <w:highlight w:val="none"/>
              </w:rPr>
              <w:t>（须与入围品牌一致）</w:t>
            </w:r>
          </w:p>
        </w:tc>
        <w:tc>
          <w:tcPr>
            <w:tcW w:w="466" w:type="pct"/>
            <w:vAlign w:val="center"/>
          </w:tcPr>
          <w:p w14:paraId="0C101A50">
            <w:pPr>
              <w:widowControl/>
              <w:spacing w:line="288" w:lineRule="auto"/>
              <w:jc w:val="center"/>
              <w:rPr>
                <w:rFonts w:hint="eastAsia" w:ascii="仿宋" w:hAnsi="仿宋" w:eastAsia="仿宋" w:cs="仿宋"/>
                <w:bCs/>
                <w:highlight w:val="none"/>
              </w:rPr>
            </w:pPr>
            <w:r>
              <w:rPr>
                <w:rFonts w:hint="eastAsia" w:ascii="仿宋" w:hAnsi="仿宋" w:eastAsia="仿宋" w:cs="仿宋"/>
                <w:bCs/>
                <w:highlight w:val="none"/>
              </w:rPr>
              <w:t>生产厂家</w:t>
            </w:r>
          </w:p>
          <w:p w14:paraId="416F4CB6">
            <w:pPr>
              <w:widowControl/>
              <w:spacing w:line="288" w:lineRule="auto"/>
              <w:jc w:val="center"/>
              <w:rPr>
                <w:rFonts w:hint="eastAsia" w:ascii="仿宋" w:hAnsi="仿宋" w:eastAsia="仿宋" w:cs="仿宋"/>
                <w:bCs/>
                <w:highlight w:val="none"/>
              </w:rPr>
            </w:pPr>
            <w:r>
              <w:rPr>
                <w:rFonts w:hint="eastAsia" w:ascii="仿宋" w:hAnsi="仿宋" w:eastAsia="仿宋" w:cs="仿宋"/>
                <w:bCs/>
                <w:color w:val="FF0000"/>
                <w:highlight w:val="none"/>
              </w:rPr>
              <w:t>（须与入围生产厂家一致）</w:t>
            </w:r>
          </w:p>
        </w:tc>
        <w:tc>
          <w:tcPr>
            <w:tcW w:w="499" w:type="pct"/>
            <w:vAlign w:val="center"/>
          </w:tcPr>
          <w:p w14:paraId="3E490EF6">
            <w:pPr>
              <w:widowControl/>
              <w:spacing w:line="288" w:lineRule="auto"/>
              <w:jc w:val="center"/>
              <w:rPr>
                <w:rFonts w:hint="eastAsia" w:ascii="仿宋" w:hAnsi="仿宋" w:eastAsia="仿宋" w:cs="仿宋"/>
                <w:bCs/>
                <w:highlight w:val="none"/>
              </w:rPr>
            </w:pPr>
            <w:r>
              <w:rPr>
                <w:rFonts w:hint="eastAsia" w:ascii="仿宋" w:hAnsi="仿宋" w:eastAsia="仿宋" w:cs="仿宋"/>
                <w:bCs/>
                <w:highlight w:val="none"/>
              </w:rPr>
              <w:t>折扣率计算参考价（元）</w:t>
            </w:r>
          </w:p>
        </w:tc>
        <w:tc>
          <w:tcPr>
            <w:tcW w:w="552" w:type="pct"/>
            <w:vAlign w:val="center"/>
          </w:tcPr>
          <w:p w14:paraId="799D81CF">
            <w:pPr>
              <w:spacing w:line="288" w:lineRule="auto"/>
              <w:jc w:val="center"/>
              <w:rPr>
                <w:rFonts w:hint="eastAsia" w:ascii="仿宋" w:hAnsi="仿宋" w:eastAsia="仿宋" w:cs="仿宋"/>
                <w:bCs/>
                <w:highlight w:val="none"/>
              </w:rPr>
            </w:pPr>
            <w:r>
              <w:rPr>
                <w:rFonts w:hint="eastAsia" w:ascii="仿宋" w:hAnsi="仿宋" w:eastAsia="仿宋" w:cs="仿宋"/>
                <w:bCs/>
                <w:highlight w:val="none"/>
              </w:rPr>
              <w:t>入围报价（元）</w:t>
            </w:r>
          </w:p>
        </w:tc>
        <w:tc>
          <w:tcPr>
            <w:tcW w:w="552" w:type="pct"/>
            <w:vAlign w:val="center"/>
          </w:tcPr>
          <w:p w14:paraId="7D1D61E7">
            <w:pPr>
              <w:spacing w:line="288" w:lineRule="auto"/>
              <w:jc w:val="center"/>
              <w:rPr>
                <w:rFonts w:hint="eastAsia" w:ascii="仿宋" w:hAnsi="仿宋" w:eastAsia="仿宋" w:cs="仿宋"/>
                <w:bCs/>
                <w:highlight w:val="none"/>
              </w:rPr>
            </w:pPr>
            <w:r>
              <w:rPr>
                <w:rFonts w:hint="eastAsia" w:ascii="仿宋" w:hAnsi="仿宋" w:eastAsia="仿宋" w:cs="仿宋"/>
                <w:bCs/>
                <w:highlight w:val="none"/>
              </w:rPr>
              <w:t>入围折扣率（%）</w:t>
            </w:r>
          </w:p>
        </w:tc>
        <w:tc>
          <w:tcPr>
            <w:tcW w:w="552" w:type="pct"/>
            <w:vAlign w:val="center"/>
          </w:tcPr>
          <w:p w14:paraId="00F62F70">
            <w:pPr>
              <w:spacing w:line="288" w:lineRule="auto"/>
              <w:jc w:val="center"/>
              <w:rPr>
                <w:rFonts w:hint="eastAsia" w:ascii="仿宋" w:hAnsi="仿宋" w:eastAsia="仿宋" w:cs="仿宋"/>
                <w:b/>
                <w:highlight w:val="none"/>
              </w:rPr>
            </w:pPr>
            <w:r>
              <w:rPr>
                <w:rFonts w:hint="eastAsia" w:ascii="仿宋" w:hAnsi="仿宋" w:eastAsia="仿宋" w:cs="仿宋"/>
                <w:b/>
                <w:highlight w:val="none"/>
              </w:rPr>
              <w:t>二次采购报价（元）</w:t>
            </w:r>
          </w:p>
        </w:tc>
        <w:tc>
          <w:tcPr>
            <w:tcW w:w="533" w:type="pct"/>
            <w:vAlign w:val="center"/>
          </w:tcPr>
          <w:p w14:paraId="09645B91">
            <w:pPr>
              <w:spacing w:line="288" w:lineRule="auto"/>
              <w:jc w:val="center"/>
              <w:rPr>
                <w:rFonts w:hint="eastAsia" w:ascii="仿宋" w:hAnsi="仿宋" w:eastAsia="仿宋" w:cs="仿宋"/>
                <w:b/>
                <w:highlight w:val="none"/>
              </w:rPr>
            </w:pPr>
            <w:r>
              <w:rPr>
                <w:rFonts w:hint="eastAsia" w:ascii="仿宋" w:hAnsi="仿宋" w:eastAsia="仿宋" w:cs="仿宋"/>
                <w:b/>
                <w:highlight w:val="none"/>
              </w:rPr>
              <w:t>二次折扣率（%）</w:t>
            </w:r>
          </w:p>
        </w:tc>
        <w:tc>
          <w:tcPr>
            <w:tcW w:w="532" w:type="pct"/>
            <w:vAlign w:val="center"/>
          </w:tcPr>
          <w:p w14:paraId="7007C96B">
            <w:pPr>
              <w:spacing w:line="288" w:lineRule="auto"/>
              <w:jc w:val="center"/>
              <w:rPr>
                <w:rFonts w:hint="eastAsia" w:ascii="仿宋" w:hAnsi="仿宋" w:eastAsia="仿宋" w:cs="仿宋"/>
                <w:b/>
                <w:highlight w:val="none"/>
              </w:rPr>
            </w:pPr>
            <w:r>
              <w:rPr>
                <w:rFonts w:hint="eastAsia" w:ascii="仿宋" w:hAnsi="仿宋" w:eastAsia="仿宋" w:cs="仿宋"/>
                <w:b/>
                <w:highlight w:val="none"/>
              </w:rPr>
              <w:t>二次平均折扣率</w:t>
            </w:r>
          </w:p>
        </w:tc>
        <w:tc>
          <w:tcPr>
            <w:tcW w:w="330" w:type="pct"/>
            <w:vAlign w:val="center"/>
          </w:tcPr>
          <w:p w14:paraId="7A58814A">
            <w:pPr>
              <w:widowControl/>
              <w:spacing w:line="288" w:lineRule="auto"/>
              <w:jc w:val="center"/>
              <w:rPr>
                <w:rFonts w:hint="eastAsia" w:ascii="仿宋" w:hAnsi="仿宋" w:eastAsia="仿宋" w:cs="仿宋"/>
                <w:highlight w:val="none"/>
              </w:rPr>
            </w:pPr>
            <w:r>
              <w:rPr>
                <w:rFonts w:hint="eastAsia" w:ascii="仿宋" w:hAnsi="仿宋" w:eastAsia="仿宋" w:cs="仿宋"/>
                <w:highlight w:val="none"/>
              </w:rPr>
              <w:t>备注</w:t>
            </w:r>
          </w:p>
        </w:tc>
      </w:tr>
      <w:tr w14:paraId="4D96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08" w:type="pct"/>
            <w:vAlign w:val="center"/>
          </w:tcPr>
          <w:p w14:paraId="30D324A2">
            <w:pPr>
              <w:widowControl/>
              <w:spacing w:line="288" w:lineRule="auto"/>
              <w:jc w:val="center"/>
              <w:textAlignment w:val="center"/>
              <w:rPr>
                <w:rFonts w:hint="eastAsia" w:ascii="仿宋" w:hAnsi="仿宋" w:eastAsia="仿宋" w:cs="仿宋"/>
                <w:highlight w:val="none"/>
              </w:rPr>
            </w:pPr>
            <w:r>
              <w:rPr>
                <w:rFonts w:hint="eastAsia" w:ascii="仿宋" w:hAnsi="仿宋" w:eastAsia="仿宋" w:cs="仿宋"/>
                <w:highlight w:val="none"/>
                <w:lang w:bidi="ar"/>
              </w:rPr>
              <w:t>1</w:t>
            </w:r>
          </w:p>
        </w:tc>
        <w:tc>
          <w:tcPr>
            <w:tcW w:w="348" w:type="pct"/>
            <w:vAlign w:val="center"/>
          </w:tcPr>
          <w:p w14:paraId="1842E8B2">
            <w:pPr>
              <w:spacing w:line="288" w:lineRule="auto"/>
              <w:jc w:val="center"/>
              <w:rPr>
                <w:rFonts w:hint="eastAsia" w:ascii="仿宋" w:hAnsi="仿宋" w:eastAsia="仿宋" w:cs="仿宋"/>
                <w:highlight w:val="none"/>
              </w:rPr>
            </w:pPr>
            <w:r>
              <w:rPr>
                <w:rFonts w:hint="eastAsia" w:ascii="仿宋" w:hAnsi="仿宋" w:eastAsia="仿宋" w:cs="仿宋"/>
                <w:highlight w:val="none"/>
              </w:rPr>
              <w:t>例：一级大米</w:t>
            </w:r>
          </w:p>
        </w:tc>
        <w:tc>
          <w:tcPr>
            <w:tcW w:w="424" w:type="pct"/>
            <w:vAlign w:val="center"/>
          </w:tcPr>
          <w:p w14:paraId="020D56D7">
            <w:pPr>
              <w:spacing w:line="288" w:lineRule="auto"/>
              <w:jc w:val="center"/>
              <w:rPr>
                <w:rFonts w:hint="eastAsia" w:ascii="仿宋" w:hAnsi="仿宋" w:eastAsia="仿宋" w:cs="仿宋"/>
                <w:highlight w:val="none"/>
              </w:rPr>
            </w:pPr>
          </w:p>
        </w:tc>
        <w:tc>
          <w:tcPr>
            <w:tcW w:w="466" w:type="pct"/>
            <w:vAlign w:val="center"/>
          </w:tcPr>
          <w:p w14:paraId="476EF94C">
            <w:pPr>
              <w:widowControl/>
              <w:spacing w:line="288" w:lineRule="auto"/>
              <w:jc w:val="center"/>
              <w:rPr>
                <w:rFonts w:hint="eastAsia" w:ascii="仿宋" w:hAnsi="仿宋" w:eastAsia="仿宋" w:cs="仿宋"/>
                <w:bCs/>
                <w:highlight w:val="none"/>
              </w:rPr>
            </w:pPr>
          </w:p>
        </w:tc>
        <w:tc>
          <w:tcPr>
            <w:tcW w:w="499" w:type="pct"/>
            <w:vAlign w:val="center"/>
          </w:tcPr>
          <w:p w14:paraId="4F0A29D7">
            <w:pPr>
              <w:widowControl/>
              <w:spacing w:line="288" w:lineRule="auto"/>
              <w:jc w:val="center"/>
              <w:textAlignment w:val="center"/>
              <w:rPr>
                <w:rFonts w:hint="eastAsia" w:ascii="仿宋" w:hAnsi="仿宋" w:eastAsia="仿宋" w:cs="仿宋"/>
                <w:bCs/>
                <w:highlight w:val="none"/>
              </w:rPr>
            </w:pPr>
            <w:r>
              <w:rPr>
                <w:rFonts w:hint="eastAsia" w:ascii="仿宋" w:hAnsi="仿宋" w:eastAsia="仿宋" w:cs="仿宋"/>
                <w:color w:val="000000"/>
                <w:highlight w:val="none"/>
                <w:lang w:bidi="ar"/>
              </w:rPr>
              <w:t>例：2.8</w:t>
            </w:r>
          </w:p>
        </w:tc>
        <w:tc>
          <w:tcPr>
            <w:tcW w:w="552" w:type="pct"/>
            <w:vAlign w:val="center"/>
          </w:tcPr>
          <w:p w14:paraId="7FF7766D">
            <w:pPr>
              <w:spacing w:line="288" w:lineRule="auto"/>
              <w:jc w:val="center"/>
              <w:rPr>
                <w:rFonts w:hint="eastAsia" w:ascii="仿宋" w:hAnsi="仿宋" w:eastAsia="仿宋" w:cs="仿宋"/>
                <w:bCs/>
                <w:highlight w:val="none"/>
              </w:rPr>
            </w:pPr>
          </w:p>
        </w:tc>
        <w:tc>
          <w:tcPr>
            <w:tcW w:w="552" w:type="pct"/>
            <w:vAlign w:val="center"/>
          </w:tcPr>
          <w:p w14:paraId="1C20EE31">
            <w:pPr>
              <w:spacing w:line="288" w:lineRule="auto"/>
              <w:jc w:val="center"/>
              <w:rPr>
                <w:rFonts w:hint="eastAsia" w:ascii="仿宋" w:hAnsi="仿宋" w:eastAsia="仿宋" w:cs="仿宋"/>
                <w:bCs/>
                <w:highlight w:val="none"/>
              </w:rPr>
            </w:pPr>
          </w:p>
        </w:tc>
        <w:tc>
          <w:tcPr>
            <w:tcW w:w="552" w:type="pct"/>
            <w:vAlign w:val="center"/>
          </w:tcPr>
          <w:p w14:paraId="0013C6E7">
            <w:pPr>
              <w:spacing w:line="288" w:lineRule="auto"/>
              <w:jc w:val="center"/>
              <w:rPr>
                <w:rFonts w:hint="eastAsia" w:ascii="仿宋" w:hAnsi="仿宋" w:eastAsia="仿宋" w:cs="仿宋"/>
                <w:bCs/>
                <w:highlight w:val="none"/>
              </w:rPr>
            </w:pPr>
          </w:p>
        </w:tc>
        <w:tc>
          <w:tcPr>
            <w:tcW w:w="533" w:type="pct"/>
            <w:vAlign w:val="center"/>
          </w:tcPr>
          <w:p w14:paraId="291E332F">
            <w:pPr>
              <w:spacing w:line="288" w:lineRule="auto"/>
              <w:jc w:val="center"/>
              <w:rPr>
                <w:rFonts w:hint="eastAsia" w:ascii="仿宋" w:hAnsi="仿宋" w:eastAsia="仿宋" w:cs="仿宋"/>
                <w:bCs/>
                <w:highlight w:val="none"/>
              </w:rPr>
            </w:pPr>
          </w:p>
        </w:tc>
        <w:tc>
          <w:tcPr>
            <w:tcW w:w="532" w:type="pct"/>
            <w:vMerge w:val="restart"/>
            <w:vAlign w:val="center"/>
          </w:tcPr>
          <w:p w14:paraId="1A7A2443">
            <w:pPr>
              <w:spacing w:line="288" w:lineRule="auto"/>
              <w:jc w:val="center"/>
              <w:rPr>
                <w:rFonts w:hint="eastAsia" w:ascii="仿宋" w:hAnsi="仿宋" w:eastAsia="仿宋" w:cs="仿宋"/>
                <w:bCs/>
                <w:highlight w:val="none"/>
              </w:rPr>
            </w:pPr>
          </w:p>
        </w:tc>
        <w:tc>
          <w:tcPr>
            <w:tcW w:w="330" w:type="pct"/>
            <w:vAlign w:val="center"/>
          </w:tcPr>
          <w:p w14:paraId="094E5AEF">
            <w:pPr>
              <w:widowControl/>
              <w:spacing w:line="288" w:lineRule="auto"/>
              <w:jc w:val="center"/>
              <w:rPr>
                <w:rFonts w:hint="eastAsia" w:ascii="仿宋" w:hAnsi="仿宋" w:eastAsia="仿宋" w:cs="仿宋"/>
                <w:highlight w:val="none"/>
              </w:rPr>
            </w:pPr>
          </w:p>
        </w:tc>
      </w:tr>
      <w:tr w14:paraId="746B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08" w:type="pct"/>
            <w:vAlign w:val="center"/>
          </w:tcPr>
          <w:p w14:paraId="2634DA55">
            <w:pPr>
              <w:widowControl/>
              <w:spacing w:line="288" w:lineRule="auto"/>
              <w:jc w:val="center"/>
              <w:textAlignment w:val="center"/>
              <w:rPr>
                <w:rFonts w:hint="eastAsia" w:ascii="仿宋" w:hAnsi="仿宋" w:eastAsia="仿宋" w:cs="仿宋"/>
                <w:highlight w:val="none"/>
              </w:rPr>
            </w:pPr>
            <w:r>
              <w:rPr>
                <w:rFonts w:hint="eastAsia" w:ascii="仿宋" w:hAnsi="仿宋" w:eastAsia="仿宋" w:cs="仿宋"/>
                <w:highlight w:val="none"/>
                <w:lang w:bidi="ar"/>
              </w:rPr>
              <w:t>2</w:t>
            </w:r>
          </w:p>
        </w:tc>
        <w:tc>
          <w:tcPr>
            <w:tcW w:w="348" w:type="pct"/>
            <w:vAlign w:val="center"/>
          </w:tcPr>
          <w:p w14:paraId="5EA64286">
            <w:pPr>
              <w:spacing w:line="288" w:lineRule="auto"/>
              <w:jc w:val="center"/>
              <w:rPr>
                <w:rFonts w:hint="eastAsia" w:ascii="仿宋" w:hAnsi="仿宋" w:eastAsia="仿宋" w:cs="仿宋"/>
                <w:highlight w:val="none"/>
              </w:rPr>
            </w:pPr>
            <w:r>
              <w:rPr>
                <w:rFonts w:hint="eastAsia" w:ascii="仿宋" w:hAnsi="仿宋" w:eastAsia="仿宋" w:cs="仿宋"/>
                <w:color w:val="000000"/>
                <w:highlight w:val="none"/>
                <w:lang w:bidi="ar"/>
              </w:rPr>
              <w:t>例：</w:t>
            </w:r>
            <w:r>
              <w:rPr>
                <w:rFonts w:hint="eastAsia" w:ascii="仿宋" w:hAnsi="仿宋" w:eastAsia="仿宋" w:cs="仿宋"/>
                <w:highlight w:val="none"/>
              </w:rPr>
              <w:t>优质一级大米</w:t>
            </w:r>
          </w:p>
        </w:tc>
        <w:tc>
          <w:tcPr>
            <w:tcW w:w="424" w:type="pct"/>
            <w:vAlign w:val="center"/>
          </w:tcPr>
          <w:p w14:paraId="6A4EB1C1">
            <w:pPr>
              <w:spacing w:line="288" w:lineRule="auto"/>
              <w:jc w:val="center"/>
              <w:rPr>
                <w:rFonts w:hint="eastAsia" w:ascii="仿宋" w:hAnsi="仿宋" w:eastAsia="仿宋" w:cs="仿宋"/>
                <w:highlight w:val="none"/>
              </w:rPr>
            </w:pPr>
          </w:p>
        </w:tc>
        <w:tc>
          <w:tcPr>
            <w:tcW w:w="466" w:type="pct"/>
            <w:vAlign w:val="center"/>
          </w:tcPr>
          <w:p w14:paraId="15887125">
            <w:pPr>
              <w:widowControl/>
              <w:spacing w:line="288" w:lineRule="auto"/>
              <w:jc w:val="center"/>
              <w:rPr>
                <w:rFonts w:hint="eastAsia" w:ascii="仿宋" w:hAnsi="仿宋" w:eastAsia="仿宋" w:cs="仿宋"/>
                <w:bCs/>
                <w:highlight w:val="none"/>
              </w:rPr>
            </w:pPr>
          </w:p>
        </w:tc>
        <w:tc>
          <w:tcPr>
            <w:tcW w:w="499" w:type="pct"/>
            <w:vAlign w:val="center"/>
          </w:tcPr>
          <w:p w14:paraId="49192F99">
            <w:pPr>
              <w:widowControl/>
              <w:spacing w:line="288" w:lineRule="auto"/>
              <w:jc w:val="center"/>
              <w:textAlignment w:val="center"/>
              <w:rPr>
                <w:rFonts w:hint="eastAsia" w:ascii="仿宋" w:hAnsi="仿宋" w:eastAsia="仿宋" w:cs="仿宋"/>
                <w:bCs/>
                <w:highlight w:val="none"/>
              </w:rPr>
            </w:pPr>
            <w:r>
              <w:rPr>
                <w:rFonts w:hint="eastAsia" w:ascii="仿宋" w:hAnsi="仿宋" w:eastAsia="仿宋" w:cs="仿宋"/>
                <w:color w:val="000000"/>
                <w:highlight w:val="none"/>
                <w:lang w:bidi="ar"/>
              </w:rPr>
              <w:t>例：3.5</w:t>
            </w:r>
          </w:p>
        </w:tc>
        <w:tc>
          <w:tcPr>
            <w:tcW w:w="552" w:type="pct"/>
            <w:vAlign w:val="center"/>
          </w:tcPr>
          <w:p w14:paraId="5A979A95">
            <w:pPr>
              <w:spacing w:line="288" w:lineRule="auto"/>
              <w:jc w:val="center"/>
              <w:rPr>
                <w:rFonts w:hint="eastAsia" w:ascii="仿宋" w:hAnsi="仿宋" w:eastAsia="仿宋" w:cs="仿宋"/>
                <w:bCs/>
                <w:highlight w:val="none"/>
              </w:rPr>
            </w:pPr>
          </w:p>
        </w:tc>
        <w:tc>
          <w:tcPr>
            <w:tcW w:w="552" w:type="pct"/>
            <w:vAlign w:val="center"/>
          </w:tcPr>
          <w:p w14:paraId="4A7AE990">
            <w:pPr>
              <w:spacing w:line="288" w:lineRule="auto"/>
              <w:jc w:val="center"/>
              <w:rPr>
                <w:rFonts w:hint="eastAsia" w:ascii="仿宋" w:hAnsi="仿宋" w:eastAsia="仿宋" w:cs="仿宋"/>
                <w:bCs/>
                <w:highlight w:val="none"/>
              </w:rPr>
            </w:pPr>
          </w:p>
        </w:tc>
        <w:tc>
          <w:tcPr>
            <w:tcW w:w="552" w:type="pct"/>
            <w:vAlign w:val="center"/>
          </w:tcPr>
          <w:p w14:paraId="74E83140">
            <w:pPr>
              <w:spacing w:line="288" w:lineRule="auto"/>
              <w:jc w:val="center"/>
              <w:rPr>
                <w:rFonts w:hint="eastAsia" w:ascii="仿宋" w:hAnsi="仿宋" w:eastAsia="仿宋" w:cs="仿宋"/>
                <w:bCs/>
                <w:highlight w:val="none"/>
              </w:rPr>
            </w:pPr>
          </w:p>
        </w:tc>
        <w:tc>
          <w:tcPr>
            <w:tcW w:w="533" w:type="pct"/>
            <w:vAlign w:val="center"/>
          </w:tcPr>
          <w:p w14:paraId="4F14496E">
            <w:pPr>
              <w:spacing w:line="288" w:lineRule="auto"/>
              <w:jc w:val="center"/>
              <w:rPr>
                <w:rFonts w:hint="eastAsia" w:ascii="仿宋" w:hAnsi="仿宋" w:eastAsia="仿宋" w:cs="仿宋"/>
                <w:bCs/>
                <w:highlight w:val="none"/>
              </w:rPr>
            </w:pPr>
          </w:p>
        </w:tc>
        <w:tc>
          <w:tcPr>
            <w:tcW w:w="532" w:type="pct"/>
            <w:vMerge w:val="continue"/>
            <w:vAlign w:val="center"/>
          </w:tcPr>
          <w:p w14:paraId="2E4A8373">
            <w:pPr>
              <w:spacing w:line="288" w:lineRule="auto"/>
              <w:jc w:val="center"/>
              <w:rPr>
                <w:rFonts w:hint="eastAsia" w:ascii="仿宋" w:hAnsi="仿宋" w:eastAsia="仿宋" w:cs="仿宋"/>
                <w:bCs/>
                <w:highlight w:val="none"/>
              </w:rPr>
            </w:pPr>
          </w:p>
        </w:tc>
        <w:tc>
          <w:tcPr>
            <w:tcW w:w="330" w:type="pct"/>
            <w:vAlign w:val="center"/>
          </w:tcPr>
          <w:p w14:paraId="3AD31D8B">
            <w:pPr>
              <w:widowControl/>
              <w:spacing w:line="288" w:lineRule="auto"/>
              <w:jc w:val="center"/>
              <w:rPr>
                <w:rFonts w:hint="eastAsia" w:ascii="仿宋" w:hAnsi="仿宋" w:eastAsia="仿宋" w:cs="仿宋"/>
                <w:highlight w:val="none"/>
              </w:rPr>
            </w:pPr>
          </w:p>
        </w:tc>
      </w:tr>
      <w:tr w14:paraId="02A7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08" w:type="pct"/>
            <w:vAlign w:val="center"/>
          </w:tcPr>
          <w:p w14:paraId="4E7ACB82">
            <w:pPr>
              <w:widowControl/>
              <w:spacing w:line="288" w:lineRule="auto"/>
              <w:jc w:val="center"/>
              <w:textAlignment w:val="center"/>
              <w:rPr>
                <w:rFonts w:hint="eastAsia" w:ascii="仿宋" w:hAnsi="仿宋" w:eastAsia="仿宋" w:cs="仿宋"/>
                <w:highlight w:val="none"/>
              </w:rPr>
            </w:pPr>
          </w:p>
        </w:tc>
        <w:tc>
          <w:tcPr>
            <w:tcW w:w="348" w:type="pct"/>
            <w:vAlign w:val="center"/>
          </w:tcPr>
          <w:p w14:paraId="59BC37C2">
            <w:pPr>
              <w:spacing w:line="288" w:lineRule="auto"/>
              <w:jc w:val="center"/>
              <w:rPr>
                <w:rFonts w:hint="eastAsia" w:ascii="仿宋" w:hAnsi="仿宋" w:eastAsia="仿宋" w:cs="仿宋"/>
                <w:highlight w:val="none"/>
              </w:rPr>
            </w:pPr>
            <w:r>
              <w:rPr>
                <w:rFonts w:hint="eastAsia" w:ascii="仿宋" w:hAnsi="仿宋" w:eastAsia="仿宋" w:cs="仿宋"/>
                <w:highlight w:val="none"/>
              </w:rPr>
              <w:t>......</w:t>
            </w:r>
          </w:p>
        </w:tc>
        <w:tc>
          <w:tcPr>
            <w:tcW w:w="424" w:type="pct"/>
            <w:vAlign w:val="center"/>
          </w:tcPr>
          <w:p w14:paraId="7BCF7548">
            <w:pPr>
              <w:spacing w:line="288" w:lineRule="auto"/>
              <w:jc w:val="center"/>
              <w:rPr>
                <w:rFonts w:hint="eastAsia" w:ascii="仿宋" w:hAnsi="仿宋" w:eastAsia="仿宋" w:cs="仿宋"/>
                <w:highlight w:val="none"/>
              </w:rPr>
            </w:pPr>
          </w:p>
        </w:tc>
        <w:tc>
          <w:tcPr>
            <w:tcW w:w="466" w:type="pct"/>
          </w:tcPr>
          <w:p w14:paraId="26B76C69">
            <w:pPr>
              <w:widowControl/>
              <w:spacing w:line="288" w:lineRule="auto"/>
              <w:jc w:val="center"/>
              <w:rPr>
                <w:rFonts w:hint="eastAsia" w:ascii="仿宋" w:hAnsi="仿宋" w:eastAsia="仿宋" w:cs="仿宋"/>
                <w:bCs/>
                <w:highlight w:val="none"/>
              </w:rPr>
            </w:pPr>
          </w:p>
        </w:tc>
        <w:tc>
          <w:tcPr>
            <w:tcW w:w="499" w:type="pct"/>
          </w:tcPr>
          <w:p w14:paraId="52231BE2">
            <w:pPr>
              <w:widowControl/>
              <w:spacing w:line="288" w:lineRule="auto"/>
              <w:jc w:val="center"/>
              <w:textAlignment w:val="top"/>
              <w:rPr>
                <w:rFonts w:hint="eastAsia" w:ascii="仿宋" w:hAnsi="仿宋" w:eastAsia="仿宋" w:cs="仿宋"/>
                <w:bCs/>
                <w:highlight w:val="none"/>
              </w:rPr>
            </w:pPr>
          </w:p>
        </w:tc>
        <w:tc>
          <w:tcPr>
            <w:tcW w:w="552" w:type="pct"/>
          </w:tcPr>
          <w:p w14:paraId="635290A0">
            <w:pPr>
              <w:spacing w:line="288" w:lineRule="auto"/>
              <w:jc w:val="center"/>
              <w:rPr>
                <w:rFonts w:hint="eastAsia" w:ascii="仿宋" w:hAnsi="仿宋" w:eastAsia="仿宋" w:cs="仿宋"/>
                <w:bCs/>
                <w:highlight w:val="none"/>
              </w:rPr>
            </w:pPr>
          </w:p>
        </w:tc>
        <w:tc>
          <w:tcPr>
            <w:tcW w:w="552" w:type="pct"/>
          </w:tcPr>
          <w:p w14:paraId="1E1DECF3">
            <w:pPr>
              <w:spacing w:line="288" w:lineRule="auto"/>
              <w:jc w:val="center"/>
              <w:rPr>
                <w:rFonts w:hint="eastAsia" w:ascii="仿宋" w:hAnsi="仿宋" w:eastAsia="仿宋" w:cs="仿宋"/>
                <w:bCs/>
                <w:highlight w:val="none"/>
              </w:rPr>
            </w:pPr>
          </w:p>
        </w:tc>
        <w:tc>
          <w:tcPr>
            <w:tcW w:w="552" w:type="pct"/>
          </w:tcPr>
          <w:p w14:paraId="32D616B1">
            <w:pPr>
              <w:spacing w:line="288" w:lineRule="auto"/>
              <w:jc w:val="center"/>
              <w:rPr>
                <w:rFonts w:hint="eastAsia" w:ascii="仿宋" w:hAnsi="仿宋" w:eastAsia="仿宋" w:cs="仿宋"/>
                <w:bCs/>
                <w:highlight w:val="none"/>
              </w:rPr>
            </w:pPr>
          </w:p>
        </w:tc>
        <w:tc>
          <w:tcPr>
            <w:tcW w:w="533" w:type="pct"/>
          </w:tcPr>
          <w:p w14:paraId="0221AEDF">
            <w:pPr>
              <w:spacing w:line="288" w:lineRule="auto"/>
              <w:jc w:val="center"/>
              <w:rPr>
                <w:rFonts w:hint="eastAsia" w:ascii="仿宋" w:hAnsi="仿宋" w:eastAsia="仿宋" w:cs="仿宋"/>
                <w:bCs/>
                <w:highlight w:val="none"/>
              </w:rPr>
            </w:pPr>
          </w:p>
        </w:tc>
        <w:tc>
          <w:tcPr>
            <w:tcW w:w="532" w:type="pct"/>
            <w:vMerge w:val="continue"/>
          </w:tcPr>
          <w:p w14:paraId="50B88BB7">
            <w:pPr>
              <w:spacing w:line="288" w:lineRule="auto"/>
              <w:jc w:val="center"/>
              <w:rPr>
                <w:rFonts w:hint="eastAsia" w:ascii="仿宋" w:hAnsi="仿宋" w:eastAsia="仿宋" w:cs="仿宋"/>
                <w:bCs/>
                <w:highlight w:val="none"/>
              </w:rPr>
            </w:pPr>
          </w:p>
        </w:tc>
        <w:tc>
          <w:tcPr>
            <w:tcW w:w="330" w:type="pct"/>
          </w:tcPr>
          <w:p w14:paraId="5F12D410">
            <w:pPr>
              <w:widowControl/>
              <w:spacing w:line="288" w:lineRule="auto"/>
              <w:jc w:val="center"/>
              <w:rPr>
                <w:rFonts w:hint="eastAsia" w:ascii="仿宋" w:hAnsi="仿宋" w:eastAsia="仿宋" w:cs="仿宋"/>
                <w:highlight w:val="none"/>
              </w:rPr>
            </w:pPr>
          </w:p>
        </w:tc>
      </w:tr>
      <w:tr w14:paraId="6FDF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08" w:type="pct"/>
            <w:vAlign w:val="center"/>
          </w:tcPr>
          <w:p w14:paraId="346A7F05">
            <w:pPr>
              <w:widowControl/>
              <w:spacing w:line="288" w:lineRule="auto"/>
              <w:jc w:val="center"/>
              <w:textAlignment w:val="center"/>
              <w:rPr>
                <w:rFonts w:hint="eastAsia" w:ascii="仿宋" w:hAnsi="仿宋" w:eastAsia="仿宋" w:cs="仿宋"/>
                <w:highlight w:val="none"/>
              </w:rPr>
            </w:pPr>
          </w:p>
        </w:tc>
        <w:tc>
          <w:tcPr>
            <w:tcW w:w="348" w:type="pct"/>
            <w:vAlign w:val="center"/>
          </w:tcPr>
          <w:p w14:paraId="32AC854A">
            <w:pPr>
              <w:spacing w:line="288" w:lineRule="auto"/>
              <w:jc w:val="center"/>
              <w:rPr>
                <w:rFonts w:hint="eastAsia" w:ascii="仿宋" w:hAnsi="仿宋" w:eastAsia="仿宋" w:cs="仿宋"/>
                <w:highlight w:val="none"/>
              </w:rPr>
            </w:pPr>
          </w:p>
        </w:tc>
        <w:tc>
          <w:tcPr>
            <w:tcW w:w="424" w:type="pct"/>
            <w:vAlign w:val="center"/>
          </w:tcPr>
          <w:p w14:paraId="51E1FEC2">
            <w:pPr>
              <w:spacing w:line="288" w:lineRule="auto"/>
              <w:jc w:val="center"/>
              <w:rPr>
                <w:rFonts w:hint="eastAsia" w:ascii="仿宋" w:hAnsi="仿宋" w:eastAsia="仿宋" w:cs="仿宋"/>
                <w:highlight w:val="none"/>
              </w:rPr>
            </w:pPr>
          </w:p>
        </w:tc>
        <w:tc>
          <w:tcPr>
            <w:tcW w:w="466" w:type="pct"/>
          </w:tcPr>
          <w:p w14:paraId="633595B2">
            <w:pPr>
              <w:widowControl/>
              <w:spacing w:line="288" w:lineRule="auto"/>
              <w:jc w:val="center"/>
              <w:rPr>
                <w:rFonts w:hint="eastAsia" w:ascii="仿宋" w:hAnsi="仿宋" w:eastAsia="仿宋" w:cs="仿宋"/>
                <w:bCs/>
                <w:highlight w:val="none"/>
              </w:rPr>
            </w:pPr>
          </w:p>
        </w:tc>
        <w:tc>
          <w:tcPr>
            <w:tcW w:w="499" w:type="pct"/>
          </w:tcPr>
          <w:p w14:paraId="5EC51CC4">
            <w:pPr>
              <w:widowControl/>
              <w:spacing w:line="288" w:lineRule="auto"/>
              <w:jc w:val="center"/>
              <w:textAlignment w:val="top"/>
              <w:rPr>
                <w:rFonts w:hint="eastAsia" w:ascii="仿宋" w:hAnsi="仿宋" w:eastAsia="仿宋" w:cs="仿宋"/>
                <w:bCs/>
                <w:highlight w:val="none"/>
              </w:rPr>
            </w:pPr>
          </w:p>
        </w:tc>
        <w:tc>
          <w:tcPr>
            <w:tcW w:w="552" w:type="pct"/>
          </w:tcPr>
          <w:p w14:paraId="334FF7EE">
            <w:pPr>
              <w:spacing w:line="288" w:lineRule="auto"/>
              <w:jc w:val="center"/>
              <w:rPr>
                <w:rFonts w:hint="eastAsia" w:ascii="仿宋" w:hAnsi="仿宋" w:eastAsia="仿宋" w:cs="仿宋"/>
                <w:bCs/>
                <w:highlight w:val="none"/>
              </w:rPr>
            </w:pPr>
          </w:p>
        </w:tc>
        <w:tc>
          <w:tcPr>
            <w:tcW w:w="552" w:type="pct"/>
          </w:tcPr>
          <w:p w14:paraId="1A08002B">
            <w:pPr>
              <w:spacing w:line="288" w:lineRule="auto"/>
              <w:jc w:val="center"/>
              <w:rPr>
                <w:rFonts w:hint="eastAsia" w:ascii="仿宋" w:hAnsi="仿宋" w:eastAsia="仿宋" w:cs="仿宋"/>
                <w:bCs/>
                <w:highlight w:val="none"/>
              </w:rPr>
            </w:pPr>
          </w:p>
        </w:tc>
        <w:tc>
          <w:tcPr>
            <w:tcW w:w="552" w:type="pct"/>
          </w:tcPr>
          <w:p w14:paraId="205231BF">
            <w:pPr>
              <w:spacing w:line="288" w:lineRule="auto"/>
              <w:jc w:val="center"/>
              <w:rPr>
                <w:rFonts w:hint="eastAsia" w:ascii="仿宋" w:hAnsi="仿宋" w:eastAsia="仿宋" w:cs="仿宋"/>
                <w:bCs/>
                <w:highlight w:val="none"/>
              </w:rPr>
            </w:pPr>
          </w:p>
        </w:tc>
        <w:tc>
          <w:tcPr>
            <w:tcW w:w="533" w:type="pct"/>
          </w:tcPr>
          <w:p w14:paraId="0414BD43">
            <w:pPr>
              <w:spacing w:line="288" w:lineRule="auto"/>
              <w:jc w:val="center"/>
              <w:rPr>
                <w:rFonts w:hint="eastAsia" w:ascii="仿宋" w:hAnsi="仿宋" w:eastAsia="仿宋" w:cs="仿宋"/>
                <w:bCs/>
                <w:highlight w:val="none"/>
              </w:rPr>
            </w:pPr>
          </w:p>
        </w:tc>
        <w:tc>
          <w:tcPr>
            <w:tcW w:w="532" w:type="pct"/>
            <w:vMerge w:val="continue"/>
          </w:tcPr>
          <w:p w14:paraId="632EA463">
            <w:pPr>
              <w:spacing w:line="288" w:lineRule="auto"/>
              <w:jc w:val="center"/>
              <w:rPr>
                <w:rFonts w:hint="eastAsia" w:ascii="仿宋" w:hAnsi="仿宋" w:eastAsia="仿宋" w:cs="仿宋"/>
                <w:bCs/>
                <w:highlight w:val="none"/>
              </w:rPr>
            </w:pPr>
          </w:p>
        </w:tc>
        <w:tc>
          <w:tcPr>
            <w:tcW w:w="330" w:type="pct"/>
          </w:tcPr>
          <w:p w14:paraId="76DB0D9E">
            <w:pPr>
              <w:widowControl/>
              <w:spacing w:line="288" w:lineRule="auto"/>
              <w:jc w:val="center"/>
              <w:rPr>
                <w:rFonts w:hint="eastAsia" w:ascii="仿宋" w:hAnsi="仿宋" w:eastAsia="仿宋" w:cs="仿宋"/>
                <w:highlight w:val="none"/>
              </w:rPr>
            </w:pPr>
          </w:p>
        </w:tc>
      </w:tr>
      <w:tr w14:paraId="6C3E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08" w:type="pct"/>
            <w:vAlign w:val="center"/>
          </w:tcPr>
          <w:p w14:paraId="57C560E0">
            <w:pPr>
              <w:widowControl/>
              <w:spacing w:line="288" w:lineRule="auto"/>
              <w:jc w:val="center"/>
              <w:textAlignment w:val="center"/>
              <w:rPr>
                <w:rFonts w:hint="eastAsia" w:ascii="仿宋" w:hAnsi="仿宋" w:eastAsia="仿宋" w:cs="仿宋"/>
                <w:highlight w:val="none"/>
              </w:rPr>
            </w:pPr>
          </w:p>
        </w:tc>
        <w:tc>
          <w:tcPr>
            <w:tcW w:w="348" w:type="pct"/>
            <w:vAlign w:val="center"/>
          </w:tcPr>
          <w:p w14:paraId="72A3ACCD">
            <w:pPr>
              <w:spacing w:line="288" w:lineRule="auto"/>
              <w:jc w:val="center"/>
              <w:rPr>
                <w:rFonts w:hint="eastAsia" w:ascii="仿宋" w:hAnsi="仿宋" w:eastAsia="仿宋" w:cs="仿宋"/>
                <w:highlight w:val="none"/>
              </w:rPr>
            </w:pPr>
          </w:p>
        </w:tc>
        <w:tc>
          <w:tcPr>
            <w:tcW w:w="424" w:type="pct"/>
            <w:vAlign w:val="center"/>
          </w:tcPr>
          <w:p w14:paraId="4BCC998C">
            <w:pPr>
              <w:spacing w:line="288" w:lineRule="auto"/>
              <w:jc w:val="center"/>
              <w:rPr>
                <w:rFonts w:hint="eastAsia" w:ascii="仿宋" w:hAnsi="仿宋" w:eastAsia="仿宋" w:cs="仿宋"/>
                <w:highlight w:val="none"/>
              </w:rPr>
            </w:pPr>
          </w:p>
        </w:tc>
        <w:tc>
          <w:tcPr>
            <w:tcW w:w="466" w:type="pct"/>
          </w:tcPr>
          <w:p w14:paraId="20A0EAAE">
            <w:pPr>
              <w:widowControl/>
              <w:spacing w:line="288" w:lineRule="auto"/>
              <w:jc w:val="center"/>
              <w:rPr>
                <w:rFonts w:hint="eastAsia" w:ascii="仿宋" w:hAnsi="仿宋" w:eastAsia="仿宋" w:cs="仿宋"/>
                <w:bCs/>
                <w:highlight w:val="none"/>
              </w:rPr>
            </w:pPr>
          </w:p>
        </w:tc>
        <w:tc>
          <w:tcPr>
            <w:tcW w:w="499" w:type="pct"/>
          </w:tcPr>
          <w:p w14:paraId="253D7F64">
            <w:pPr>
              <w:widowControl/>
              <w:spacing w:line="288" w:lineRule="auto"/>
              <w:jc w:val="center"/>
              <w:textAlignment w:val="top"/>
              <w:rPr>
                <w:rFonts w:hint="eastAsia" w:ascii="仿宋" w:hAnsi="仿宋" w:eastAsia="仿宋" w:cs="仿宋"/>
                <w:bCs/>
                <w:highlight w:val="none"/>
              </w:rPr>
            </w:pPr>
          </w:p>
        </w:tc>
        <w:tc>
          <w:tcPr>
            <w:tcW w:w="552" w:type="pct"/>
          </w:tcPr>
          <w:p w14:paraId="1DAEC1A5">
            <w:pPr>
              <w:spacing w:line="288" w:lineRule="auto"/>
              <w:jc w:val="center"/>
              <w:rPr>
                <w:rFonts w:hint="eastAsia" w:ascii="仿宋" w:hAnsi="仿宋" w:eastAsia="仿宋" w:cs="仿宋"/>
                <w:bCs/>
                <w:highlight w:val="none"/>
              </w:rPr>
            </w:pPr>
          </w:p>
        </w:tc>
        <w:tc>
          <w:tcPr>
            <w:tcW w:w="552" w:type="pct"/>
          </w:tcPr>
          <w:p w14:paraId="41464697">
            <w:pPr>
              <w:spacing w:line="288" w:lineRule="auto"/>
              <w:jc w:val="center"/>
              <w:rPr>
                <w:rFonts w:hint="eastAsia" w:ascii="仿宋" w:hAnsi="仿宋" w:eastAsia="仿宋" w:cs="仿宋"/>
                <w:bCs/>
                <w:highlight w:val="none"/>
              </w:rPr>
            </w:pPr>
          </w:p>
        </w:tc>
        <w:tc>
          <w:tcPr>
            <w:tcW w:w="552" w:type="pct"/>
          </w:tcPr>
          <w:p w14:paraId="7FFF16C2">
            <w:pPr>
              <w:spacing w:line="288" w:lineRule="auto"/>
              <w:jc w:val="center"/>
              <w:rPr>
                <w:rFonts w:hint="eastAsia" w:ascii="仿宋" w:hAnsi="仿宋" w:eastAsia="仿宋" w:cs="仿宋"/>
                <w:bCs/>
                <w:highlight w:val="none"/>
              </w:rPr>
            </w:pPr>
          </w:p>
        </w:tc>
        <w:tc>
          <w:tcPr>
            <w:tcW w:w="533" w:type="pct"/>
          </w:tcPr>
          <w:p w14:paraId="29A1F757">
            <w:pPr>
              <w:spacing w:line="288" w:lineRule="auto"/>
              <w:jc w:val="center"/>
              <w:rPr>
                <w:rFonts w:hint="eastAsia" w:ascii="仿宋" w:hAnsi="仿宋" w:eastAsia="仿宋" w:cs="仿宋"/>
                <w:bCs/>
                <w:highlight w:val="none"/>
              </w:rPr>
            </w:pPr>
          </w:p>
        </w:tc>
        <w:tc>
          <w:tcPr>
            <w:tcW w:w="532" w:type="pct"/>
            <w:vMerge w:val="continue"/>
          </w:tcPr>
          <w:p w14:paraId="5BEB10D3">
            <w:pPr>
              <w:spacing w:line="288" w:lineRule="auto"/>
              <w:jc w:val="center"/>
              <w:rPr>
                <w:rFonts w:hint="eastAsia" w:ascii="仿宋" w:hAnsi="仿宋" w:eastAsia="仿宋" w:cs="仿宋"/>
                <w:bCs/>
                <w:highlight w:val="none"/>
              </w:rPr>
            </w:pPr>
          </w:p>
        </w:tc>
        <w:tc>
          <w:tcPr>
            <w:tcW w:w="330" w:type="pct"/>
          </w:tcPr>
          <w:p w14:paraId="6B5E618E">
            <w:pPr>
              <w:widowControl/>
              <w:spacing w:line="288" w:lineRule="auto"/>
              <w:jc w:val="center"/>
              <w:rPr>
                <w:rFonts w:hint="eastAsia" w:ascii="仿宋" w:hAnsi="仿宋" w:eastAsia="仿宋" w:cs="仿宋"/>
                <w:highlight w:val="none"/>
              </w:rPr>
            </w:pPr>
          </w:p>
        </w:tc>
      </w:tr>
      <w:tr w14:paraId="281B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08" w:type="pct"/>
            <w:vAlign w:val="center"/>
          </w:tcPr>
          <w:p w14:paraId="53DFCBFB">
            <w:pPr>
              <w:widowControl/>
              <w:spacing w:line="288" w:lineRule="auto"/>
              <w:jc w:val="center"/>
              <w:textAlignment w:val="center"/>
              <w:rPr>
                <w:rFonts w:hint="eastAsia" w:ascii="仿宋" w:hAnsi="仿宋" w:eastAsia="仿宋" w:cs="仿宋"/>
                <w:highlight w:val="none"/>
              </w:rPr>
            </w:pPr>
          </w:p>
        </w:tc>
        <w:tc>
          <w:tcPr>
            <w:tcW w:w="348" w:type="pct"/>
            <w:vAlign w:val="center"/>
          </w:tcPr>
          <w:p w14:paraId="194F7529">
            <w:pPr>
              <w:spacing w:line="288" w:lineRule="auto"/>
              <w:jc w:val="center"/>
              <w:rPr>
                <w:rFonts w:hint="eastAsia" w:ascii="仿宋" w:hAnsi="仿宋" w:eastAsia="仿宋" w:cs="仿宋"/>
                <w:highlight w:val="none"/>
              </w:rPr>
            </w:pPr>
          </w:p>
        </w:tc>
        <w:tc>
          <w:tcPr>
            <w:tcW w:w="424" w:type="pct"/>
            <w:vAlign w:val="center"/>
          </w:tcPr>
          <w:p w14:paraId="4D773D8D">
            <w:pPr>
              <w:spacing w:line="288" w:lineRule="auto"/>
              <w:jc w:val="center"/>
              <w:rPr>
                <w:rFonts w:hint="eastAsia" w:ascii="仿宋" w:hAnsi="仿宋" w:eastAsia="仿宋" w:cs="仿宋"/>
                <w:highlight w:val="none"/>
              </w:rPr>
            </w:pPr>
          </w:p>
        </w:tc>
        <w:tc>
          <w:tcPr>
            <w:tcW w:w="466" w:type="pct"/>
          </w:tcPr>
          <w:p w14:paraId="10255776">
            <w:pPr>
              <w:widowControl/>
              <w:spacing w:line="288" w:lineRule="auto"/>
              <w:jc w:val="center"/>
              <w:rPr>
                <w:rFonts w:hint="eastAsia" w:ascii="仿宋" w:hAnsi="仿宋" w:eastAsia="仿宋" w:cs="仿宋"/>
                <w:bCs/>
                <w:highlight w:val="none"/>
              </w:rPr>
            </w:pPr>
          </w:p>
        </w:tc>
        <w:tc>
          <w:tcPr>
            <w:tcW w:w="499" w:type="pct"/>
          </w:tcPr>
          <w:p w14:paraId="57507909">
            <w:pPr>
              <w:widowControl/>
              <w:spacing w:line="288" w:lineRule="auto"/>
              <w:jc w:val="center"/>
              <w:textAlignment w:val="top"/>
              <w:rPr>
                <w:rFonts w:hint="eastAsia" w:ascii="仿宋" w:hAnsi="仿宋" w:eastAsia="仿宋" w:cs="仿宋"/>
                <w:bCs/>
                <w:highlight w:val="none"/>
              </w:rPr>
            </w:pPr>
          </w:p>
        </w:tc>
        <w:tc>
          <w:tcPr>
            <w:tcW w:w="552" w:type="pct"/>
          </w:tcPr>
          <w:p w14:paraId="10808127">
            <w:pPr>
              <w:spacing w:line="288" w:lineRule="auto"/>
              <w:jc w:val="center"/>
              <w:rPr>
                <w:rFonts w:hint="eastAsia" w:ascii="仿宋" w:hAnsi="仿宋" w:eastAsia="仿宋" w:cs="仿宋"/>
                <w:bCs/>
                <w:highlight w:val="none"/>
              </w:rPr>
            </w:pPr>
          </w:p>
        </w:tc>
        <w:tc>
          <w:tcPr>
            <w:tcW w:w="552" w:type="pct"/>
          </w:tcPr>
          <w:p w14:paraId="5C0C311A">
            <w:pPr>
              <w:spacing w:line="288" w:lineRule="auto"/>
              <w:jc w:val="center"/>
              <w:rPr>
                <w:rFonts w:hint="eastAsia" w:ascii="仿宋" w:hAnsi="仿宋" w:eastAsia="仿宋" w:cs="仿宋"/>
                <w:bCs/>
                <w:highlight w:val="none"/>
              </w:rPr>
            </w:pPr>
          </w:p>
        </w:tc>
        <w:tc>
          <w:tcPr>
            <w:tcW w:w="552" w:type="pct"/>
          </w:tcPr>
          <w:p w14:paraId="1A3752D8">
            <w:pPr>
              <w:spacing w:line="288" w:lineRule="auto"/>
              <w:jc w:val="center"/>
              <w:rPr>
                <w:rFonts w:hint="eastAsia" w:ascii="仿宋" w:hAnsi="仿宋" w:eastAsia="仿宋" w:cs="仿宋"/>
                <w:bCs/>
                <w:highlight w:val="none"/>
              </w:rPr>
            </w:pPr>
          </w:p>
        </w:tc>
        <w:tc>
          <w:tcPr>
            <w:tcW w:w="533" w:type="pct"/>
          </w:tcPr>
          <w:p w14:paraId="1CA251B7">
            <w:pPr>
              <w:spacing w:line="288" w:lineRule="auto"/>
              <w:jc w:val="center"/>
              <w:rPr>
                <w:rFonts w:hint="eastAsia" w:ascii="仿宋" w:hAnsi="仿宋" w:eastAsia="仿宋" w:cs="仿宋"/>
                <w:bCs/>
                <w:highlight w:val="none"/>
              </w:rPr>
            </w:pPr>
          </w:p>
        </w:tc>
        <w:tc>
          <w:tcPr>
            <w:tcW w:w="532" w:type="pct"/>
            <w:vMerge w:val="continue"/>
          </w:tcPr>
          <w:p w14:paraId="73644773">
            <w:pPr>
              <w:spacing w:line="288" w:lineRule="auto"/>
              <w:jc w:val="center"/>
              <w:rPr>
                <w:rFonts w:hint="eastAsia" w:ascii="仿宋" w:hAnsi="仿宋" w:eastAsia="仿宋" w:cs="仿宋"/>
                <w:bCs/>
                <w:highlight w:val="none"/>
              </w:rPr>
            </w:pPr>
          </w:p>
        </w:tc>
        <w:tc>
          <w:tcPr>
            <w:tcW w:w="330" w:type="pct"/>
          </w:tcPr>
          <w:p w14:paraId="6E8FF633">
            <w:pPr>
              <w:widowControl/>
              <w:spacing w:line="288" w:lineRule="auto"/>
              <w:jc w:val="center"/>
              <w:rPr>
                <w:rFonts w:hint="eastAsia" w:ascii="仿宋" w:hAnsi="仿宋" w:eastAsia="仿宋" w:cs="仿宋"/>
                <w:highlight w:val="none"/>
              </w:rPr>
            </w:pPr>
          </w:p>
        </w:tc>
      </w:tr>
      <w:tr w14:paraId="333F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08" w:type="pct"/>
            <w:vAlign w:val="center"/>
          </w:tcPr>
          <w:p w14:paraId="356EFFF0">
            <w:pPr>
              <w:widowControl/>
              <w:spacing w:line="288" w:lineRule="auto"/>
              <w:jc w:val="center"/>
              <w:textAlignment w:val="center"/>
              <w:rPr>
                <w:rFonts w:hint="eastAsia" w:ascii="仿宋" w:hAnsi="仿宋" w:eastAsia="仿宋" w:cs="仿宋"/>
                <w:highlight w:val="none"/>
              </w:rPr>
            </w:pPr>
          </w:p>
        </w:tc>
        <w:tc>
          <w:tcPr>
            <w:tcW w:w="348" w:type="pct"/>
            <w:vAlign w:val="center"/>
          </w:tcPr>
          <w:p w14:paraId="20104CDC">
            <w:pPr>
              <w:spacing w:line="288" w:lineRule="auto"/>
              <w:jc w:val="center"/>
              <w:rPr>
                <w:rFonts w:hint="eastAsia" w:ascii="仿宋" w:hAnsi="仿宋" w:eastAsia="仿宋" w:cs="仿宋"/>
                <w:highlight w:val="none"/>
              </w:rPr>
            </w:pPr>
          </w:p>
        </w:tc>
        <w:tc>
          <w:tcPr>
            <w:tcW w:w="424" w:type="pct"/>
            <w:vAlign w:val="center"/>
          </w:tcPr>
          <w:p w14:paraId="0AFDA4C7">
            <w:pPr>
              <w:spacing w:line="288" w:lineRule="auto"/>
              <w:jc w:val="center"/>
              <w:rPr>
                <w:rFonts w:hint="eastAsia" w:ascii="仿宋" w:hAnsi="仿宋" w:eastAsia="仿宋" w:cs="仿宋"/>
                <w:highlight w:val="none"/>
              </w:rPr>
            </w:pPr>
          </w:p>
        </w:tc>
        <w:tc>
          <w:tcPr>
            <w:tcW w:w="466" w:type="pct"/>
          </w:tcPr>
          <w:p w14:paraId="1DCFAC3C">
            <w:pPr>
              <w:widowControl/>
              <w:spacing w:line="288" w:lineRule="auto"/>
              <w:jc w:val="center"/>
              <w:rPr>
                <w:rFonts w:hint="eastAsia" w:ascii="仿宋" w:hAnsi="仿宋" w:eastAsia="仿宋" w:cs="仿宋"/>
                <w:bCs/>
                <w:highlight w:val="none"/>
              </w:rPr>
            </w:pPr>
          </w:p>
        </w:tc>
        <w:tc>
          <w:tcPr>
            <w:tcW w:w="499" w:type="pct"/>
          </w:tcPr>
          <w:p w14:paraId="306A1DAA">
            <w:pPr>
              <w:widowControl/>
              <w:spacing w:line="288" w:lineRule="auto"/>
              <w:jc w:val="center"/>
              <w:textAlignment w:val="top"/>
              <w:rPr>
                <w:rFonts w:hint="eastAsia" w:ascii="仿宋" w:hAnsi="仿宋" w:eastAsia="仿宋" w:cs="仿宋"/>
                <w:bCs/>
                <w:highlight w:val="none"/>
              </w:rPr>
            </w:pPr>
          </w:p>
        </w:tc>
        <w:tc>
          <w:tcPr>
            <w:tcW w:w="552" w:type="pct"/>
          </w:tcPr>
          <w:p w14:paraId="3EAD25CC">
            <w:pPr>
              <w:spacing w:line="288" w:lineRule="auto"/>
              <w:jc w:val="center"/>
              <w:rPr>
                <w:rFonts w:hint="eastAsia" w:ascii="仿宋" w:hAnsi="仿宋" w:eastAsia="仿宋" w:cs="仿宋"/>
                <w:bCs/>
                <w:highlight w:val="none"/>
              </w:rPr>
            </w:pPr>
          </w:p>
        </w:tc>
        <w:tc>
          <w:tcPr>
            <w:tcW w:w="552" w:type="pct"/>
          </w:tcPr>
          <w:p w14:paraId="2CE30976">
            <w:pPr>
              <w:spacing w:line="288" w:lineRule="auto"/>
              <w:jc w:val="center"/>
              <w:rPr>
                <w:rFonts w:hint="eastAsia" w:ascii="仿宋" w:hAnsi="仿宋" w:eastAsia="仿宋" w:cs="仿宋"/>
                <w:bCs/>
                <w:highlight w:val="none"/>
              </w:rPr>
            </w:pPr>
          </w:p>
        </w:tc>
        <w:tc>
          <w:tcPr>
            <w:tcW w:w="552" w:type="pct"/>
          </w:tcPr>
          <w:p w14:paraId="0569FC92">
            <w:pPr>
              <w:spacing w:line="288" w:lineRule="auto"/>
              <w:jc w:val="center"/>
              <w:rPr>
                <w:rFonts w:hint="eastAsia" w:ascii="仿宋" w:hAnsi="仿宋" w:eastAsia="仿宋" w:cs="仿宋"/>
                <w:bCs/>
                <w:highlight w:val="none"/>
              </w:rPr>
            </w:pPr>
          </w:p>
        </w:tc>
        <w:tc>
          <w:tcPr>
            <w:tcW w:w="533" w:type="pct"/>
          </w:tcPr>
          <w:p w14:paraId="47221AB2">
            <w:pPr>
              <w:spacing w:line="288" w:lineRule="auto"/>
              <w:jc w:val="center"/>
              <w:rPr>
                <w:rFonts w:hint="eastAsia" w:ascii="仿宋" w:hAnsi="仿宋" w:eastAsia="仿宋" w:cs="仿宋"/>
                <w:bCs/>
                <w:highlight w:val="none"/>
              </w:rPr>
            </w:pPr>
          </w:p>
        </w:tc>
        <w:tc>
          <w:tcPr>
            <w:tcW w:w="532" w:type="pct"/>
            <w:vMerge w:val="continue"/>
          </w:tcPr>
          <w:p w14:paraId="1A77BDAC">
            <w:pPr>
              <w:spacing w:line="288" w:lineRule="auto"/>
              <w:jc w:val="center"/>
              <w:rPr>
                <w:rFonts w:hint="eastAsia" w:ascii="仿宋" w:hAnsi="仿宋" w:eastAsia="仿宋" w:cs="仿宋"/>
                <w:bCs/>
                <w:highlight w:val="none"/>
              </w:rPr>
            </w:pPr>
          </w:p>
        </w:tc>
        <w:tc>
          <w:tcPr>
            <w:tcW w:w="330" w:type="pct"/>
          </w:tcPr>
          <w:p w14:paraId="4BCF234C">
            <w:pPr>
              <w:widowControl/>
              <w:spacing w:line="288" w:lineRule="auto"/>
              <w:jc w:val="center"/>
              <w:rPr>
                <w:rFonts w:hint="eastAsia" w:ascii="仿宋" w:hAnsi="仿宋" w:eastAsia="仿宋" w:cs="仿宋"/>
                <w:highlight w:val="none"/>
              </w:rPr>
            </w:pPr>
          </w:p>
        </w:tc>
      </w:tr>
      <w:tr w14:paraId="4E3D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08" w:type="pct"/>
            <w:vAlign w:val="center"/>
          </w:tcPr>
          <w:p w14:paraId="6649CE93">
            <w:pPr>
              <w:widowControl/>
              <w:spacing w:line="288" w:lineRule="auto"/>
              <w:jc w:val="center"/>
              <w:textAlignment w:val="center"/>
              <w:rPr>
                <w:rFonts w:hint="eastAsia" w:ascii="仿宋" w:hAnsi="仿宋" w:eastAsia="仿宋" w:cs="仿宋"/>
                <w:highlight w:val="none"/>
              </w:rPr>
            </w:pPr>
          </w:p>
        </w:tc>
        <w:tc>
          <w:tcPr>
            <w:tcW w:w="348" w:type="pct"/>
            <w:vAlign w:val="center"/>
          </w:tcPr>
          <w:p w14:paraId="349C21C1">
            <w:pPr>
              <w:spacing w:line="288" w:lineRule="auto"/>
              <w:jc w:val="center"/>
              <w:rPr>
                <w:rFonts w:hint="eastAsia" w:ascii="仿宋" w:hAnsi="仿宋" w:eastAsia="仿宋" w:cs="仿宋"/>
                <w:highlight w:val="none"/>
              </w:rPr>
            </w:pPr>
          </w:p>
        </w:tc>
        <w:tc>
          <w:tcPr>
            <w:tcW w:w="424" w:type="pct"/>
            <w:vAlign w:val="center"/>
          </w:tcPr>
          <w:p w14:paraId="378E1A0A">
            <w:pPr>
              <w:spacing w:line="288" w:lineRule="auto"/>
              <w:jc w:val="center"/>
              <w:rPr>
                <w:rFonts w:hint="eastAsia" w:ascii="仿宋" w:hAnsi="仿宋" w:eastAsia="仿宋" w:cs="仿宋"/>
                <w:highlight w:val="none"/>
              </w:rPr>
            </w:pPr>
          </w:p>
        </w:tc>
        <w:tc>
          <w:tcPr>
            <w:tcW w:w="466" w:type="pct"/>
          </w:tcPr>
          <w:p w14:paraId="44B6D0B7">
            <w:pPr>
              <w:widowControl/>
              <w:spacing w:line="288" w:lineRule="auto"/>
              <w:jc w:val="center"/>
              <w:rPr>
                <w:rFonts w:hint="eastAsia" w:ascii="仿宋" w:hAnsi="仿宋" w:eastAsia="仿宋" w:cs="仿宋"/>
                <w:bCs/>
                <w:highlight w:val="none"/>
              </w:rPr>
            </w:pPr>
          </w:p>
        </w:tc>
        <w:tc>
          <w:tcPr>
            <w:tcW w:w="499" w:type="pct"/>
          </w:tcPr>
          <w:p w14:paraId="03FE6BAD">
            <w:pPr>
              <w:widowControl/>
              <w:spacing w:line="288" w:lineRule="auto"/>
              <w:jc w:val="center"/>
              <w:textAlignment w:val="top"/>
              <w:rPr>
                <w:rFonts w:hint="eastAsia" w:ascii="仿宋" w:hAnsi="仿宋" w:eastAsia="仿宋" w:cs="仿宋"/>
                <w:bCs/>
                <w:highlight w:val="none"/>
              </w:rPr>
            </w:pPr>
          </w:p>
        </w:tc>
        <w:tc>
          <w:tcPr>
            <w:tcW w:w="552" w:type="pct"/>
          </w:tcPr>
          <w:p w14:paraId="338BA555">
            <w:pPr>
              <w:spacing w:line="288" w:lineRule="auto"/>
              <w:jc w:val="center"/>
              <w:rPr>
                <w:rFonts w:hint="eastAsia" w:ascii="仿宋" w:hAnsi="仿宋" w:eastAsia="仿宋" w:cs="仿宋"/>
                <w:bCs/>
                <w:highlight w:val="none"/>
              </w:rPr>
            </w:pPr>
          </w:p>
        </w:tc>
        <w:tc>
          <w:tcPr>
            <w:tcW w:w="552" w:type="pct"/>
          </w:tcPr>
          <w:p w14:paraId="70EC54B3">
            <w:pPr>
              <w:spacing w:line="288" w:lineRule="auto"/>
              <w:jc w:val="center"/>
              <w:rPr>
                <w:rFonts w:hint="eastAsia" w:ascii="仿宋" w:hAnsi="仿宋" w:eastAsia="仿宋" w:cs="仿宋"/>
                <w:bCs/>
                <w:highlight w:val="none"/>
              </w:rPr>
            </w:pPr>
          </w:p>
        </w:tc>
        <w:tc>
          <w:tcPr>
            <w:tcW w:w="552" w:type="pct"/>
          </w:tcPr>
          <w:p w14:paraId="649B1BCD">
            <w:pPr>
              <w:spacing w:line="288" w:lineRule="auto"/>
              <w:jc w:val="center"/>
              <w:rPr>
                <w:rFonts w:hint="eastAsia" w:ascii="仿宋" w:hAnsi="仿宋" w:eastAsia="仿宋" w:cs="仿宋"/>
                <w:bCs/>
                <w:highlight w:val="none"/>
              </w:rPr>
            </w:pPr>
          </w:p>
        </w:tc>
        <w:tc>
          <w:tcPr>
            <w:tcW w:w="533" w:type="pct"/>
          </w:tcPr>
          <w:p w14:paraId="3599B18E">
            <w:pPr>
              <w:spacing w:line="288" w:lineRule="auto"/>
              <w:jc w:val="center"/>
              <w:rPr>
                <w:rFonts w:hint="eastAsia" w:ascii="仿宋" w:hAnsi="仿宋" w:eastAsia="仿宋" w:cs="仿宋"/>
                <w:bCs/>
                <w:highlight w:val="none"/>
              </w:rPr>
            </w:pPr>
          </w:p>
        </w:tc>
        <w:tc>
          <w:tcPr>
            <w:tcW w:w="532" w:type="pct"/>
            <w:vMerge w:val="continue"/>
          </w:tcPr>
          <w:p w14:paraId="70E733BF">
            <w:pPr>
              <w:spacing w:line="288" w:lineRule="auto"/>
              <w:jc w:val="center"/>
              <w:rPr>
                <w:rFonts w:hint="eastAsia" w:ascii="仿宋" w:hAnsi="仿宋" w:eastAsia="仿宋" w:cs="仿宋"/>
                <w:bCs/>
                <w:highlight w:val="none"/>
              </w:rPr>
            </w:pPr>
          </w:p>
        </w:tc>
        <w:tc>
          <w:tcPr>
            <w:tcW w:w="330" w:type="pct"/>
          </w:tcPr>
          <w:p w14:paraId="40B6E29A">
            <w:pPr>
              <w:widowControl/>
              <w:spacing w:line="288" w:lineRule="auto"/>
              <w:jc w:val="center"/>
              <w:rPr>
                <w:rFonts w:hint="eastAsia" w:ascii="仿宋" w:hAnsi="仿宋" w:eastAsia="仿宋" w:cs="仿宋"/>
                <w:highlight w:val="none"/>
              </w:rPr>
            </w:pPr>
          </w:p>
        </w:tc>
      </w:tr>
      <w:tr w14:paraId="2073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8" w:type="pct"/>
            <w:vAlign w:val="center"/>
          </w:tcPr>
          <w:p w14:paraId="01FB2976">
            <w:pPr>
              <w:widowControl/>
              <w:spacing w:line="288" w:lineRule="auto"/>
              <w:jc w:val="center"/>
              <w:textAlignment w:val="center"/>
              <w:rPr>
                <w:rFonts w:hint="eastAsia" w:ascii="仿宋" w:hAnsi="仿宋" w:eastAsia="仿宋" w:cs="仿宋"/>
                <w:highlight w:val="none"/>
              </w:rPr>
            </w:pPr>
          </w:p>
        </w:tc>
        <w:tc>
          <w:tcPr>
            <w:tcW w:w="348" w:type="pct"/>
            <w:vAlign w:val="center"/>
          </w:tcPr>
          <w:p w14:paraId="576B1413">
            <w:pPr>
              <w:spacing w:line="288" w:lineRule="auto"/>
              <w:jc w:val="center"/>
              <w:rPr>
                <w:rFonts w:hint="eastAsia" w:ascii="仿宋" w:hAnsi="仿宋" w:eastAsia="仿宋" w:cs="仿宋"/>
                <w:highlight w:val="none"/>
              </w:rPr>
            </w:pPr>
          </w:p>
        </w:tc>
        <w:tc>
          <w:tcPr>
            <w:tcW w:w="424" w:type="pct"/>
            <w:vAlign w:val="center"/>
          </w:tcPr>
          <w:p w14:paraId="2C40E208">
            <w:pPr>
              <w:spacing w:line="288" w:lineRule="auto"/>
              <w:jc w:val="center"/>
              <w:rPr>
                <w:rFonts w:hint="eastAsia" w:ascii="仿宋" w:hAnsi="仿宋" w:eastAsia="仿宋" w:cs="仿宋"/>
                <w:highlight w:val="none"/>
              </w:rPr>
            </w:pPr>
          </w:p>
        </w:tc>
        <w:tc>
          <w:tcPr>
            <w:tcW w:w="466" w:type="pct"/>
          </w:tcPr>
          <w:p w14:paraId="456EF239">
            <w:pPr>
              <w:widowControl/>
              <w:spacing w:line="288" w:lineRule="auto"/>
              <w:jc w:val="center"/>
              <w:rPr>
                <w:rFonts w:hint="eastAsia" w:ascii="仿宋" w:hAnsi="仿宋" w:eastAsia="仿宋" w:cs="仿宋"/>
                <w:bCs/>
                <w:highlight w:val="none"/>
              </w:rPr>
            </w:pPr>
          </w:p>
        </w:tc>
        <w:tc>
          <w:tcPr>
            <w:tcW w:w="499" w:type="pct"/>
          </w:tcPr>
          <w:p w14:paraId="77FE5BC5">
            <w:pPr>
              <w:widowControl/>
              <w:spacing w:line="288" w:lineRule="auto"/>
              <w:jc w:val="center"/>
              <w:textAlignment w:val="top"/>
              <w:rPr>
                <w:rFonts w:hint="eastAsia" w:ascii="仿宋" w:hAnsi="仿宋" w:eastAsia="仿宋" w:cs="仿宋"/>
                <w:bCs/>
                <w:highlight w:val="none"/>
              </w:rPr>
            </w:pPr>
          </w:p>
        </w:tc>
        <w:tc>
          <w:tcPr>
            <w:tcW w:w="552" w:type="pct"/>
          </w:tcPr>
          <w:p w14:paraId="13C7429B">
            <w:pPr>
              <w:spacing w:line="288" w:lineRule="auto"/>
              <w:jc w:val="center"/>
              <w:rPr>
                <w:rFonts w:hint="eastAsia" w:ascii="仿宋" w:hAnsi="仿宋" w:eastAsia="仿宋" w:cs="仿宋"/>
                <w:bCs/>
                <w:highlight w:val="none"/>
              </w:rPr>
            </w:pPr>
          </w:p>
        </w:tc>
        <w:tc>
          <w:tcPr>
            <w:tcW w:w="552" w:type="pct"/>
          </w:tcPr>
          <w:p w14:paraId="552BD1B9">
            <w:pPr>
              <w:spacing w:line="288" w:lineRule="auto"/>
              <w:jc w:val="center"/>
              <w:rPr>
                <w:rFonts w:hint="eastAsia" w:ascii="仿宋" w:hAnsi="仿宋" w:eastAsia="仿宋" w:cs="仿宋"/>
                <w:bCs/>
                <w:highlight w:val="none"/>
              </w:rPr>
            </w:pPr>
          </w:p>
        </w:tc>
        <w:tc>
          <w:tcPr>
            <w:tcW w:w="552" w:type="pct"/>
          </w:tcPr>
          <w:p w14:paraId="32F74F51">
            <w:pPr>
              <w:spacing w:line="288" w:lineRule="auto"/>
              <w:jc w:val="center"/>
              <w:rPr>
                <w:rFonts w:hint="eastAsia" w:ascii="仿宋" w:hAnsi="仿宋" w:eastAsia="仿宋" w:cs="仿宋"/>
                <w:bCs/>
                <w:highlight w:val="none"/>
              </w:rPr>
            </w:pPr>
          </w:p>
        </w:tc>
        <w:tc>
          <w:tcPr>
            <w:tcW w:w="533" w:type="pct"/>
          </w:tcPr>
          <w:p w14:paraId="793F44E3">
            <w:pPr>
              <w:spacing w:line="288" w:lineRule="auto"/>
              <w:jc w:val="center"/>
              <w:rPr>
                <w:rFonts w:hint="eastAsia" w:ascii="仿宋" w:hAnsi="仿宋" w:eastAsia="仿宋" w:cs="仿宋"/>
                <w:bCs/>
                <w:highlight w:val="none"/>
              </w:rPr>
            </w:pPr>
          </w:p>
        </w:tc>
        <w:tc>
          <w:tcPr>
            <w:tcW w:w="532" w:type="pct"/>
            <w:vMerge w:val="continue"/>
          </w:tcPr>
          <w:p w14:paraId="545FB9B8">
            <w:pPr>
              <w:spacing w:line="288" w:lineRule="auto"/>
              <w:jc w:val="center"/>
              <w:rPr>
                <w:rFonts w:hint="eastAsia" w:ascii="仿宋" w:hAnsi="仿宋" w:eastAsia="仿宋" w:cs="仿宋"/>
                <w:bCs/>
                <w:highlight w:val="none"/>
              </w:rPr>
            </w:pPr>
          </w:p>
        </w:tc>
        <w:tc>
          <w:tcPr>
            <w:tcW w:w="330" w:type="pct"/>
          </w:tcPr>
          <w:p w14:paraId="438AFBAA">
            <w:pPr>
              <w:widowControl/>
              <w:spacing w:line="288" w:lineRule="auto"/>
              <w:jc w:val="center"/>
              <w:rPr>
                <w:rFonts w:hint="eastAsia" w:ascii="仿宋" w:hAnsi="仿宋" w:eastAsia="仿宋" w:cs="仿宋"/>
                <w:highlight w:val="none"/>
              </w:rPr>
            </w:pPr>
          </w:p>
        </w:tc>
      </w:tr>
    </w:tbl>
    <w:p w14:paraId="4ED2BC53">
      <w:pPr>
        <w:rPr>
          <w:rFonts w:hint="eastAsia" w:ascii="仿宋" w:hAnsi="仿宋" w:eastAsia="仿宋" w:cs="仿宋"/>
          <w:highlight w:val="none"/>
        </w:rPr>
      </w:pPr>
    </w:p>
    <w:p w14:paraId="02F09006">
      <w:pPr>
        <w:rPr>
          <w:rFonts w:hint="eastAsia" w:ascii="仿宋" w:hAnsi="仿宋" w:eastAsia="仿宋" w:cs="仿宋"/>
          <w:highlight w:val="none"/>
        </w:rPr>
      </w:pPr>
    </w:p>
    <w:p w14:paraId="76119093">
      <w:pPr>
        <w:rPr>
          <w:rFonts w:hint="eastAsia" w:ascii="仿宋" w:hAnsi="仿宋" w:eastAsia="仿宋" w:cs="仿宋"/>
          <w:highlight w:val="none"/>
        </w:rPr>
      </w:pPr>
    </w:p>
    <w:p w14:paraId="6058D92C">
      <w:pPr>
        <w:widowControl/>
        <w:spacing w:before="60" w:after="60" w:line="288" w:lineRule="auto"/>
        <w:jc w:val="both"/>
        <w:outlineLvl w:val="1"/>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其余评分标准对应内容</w:t>
      </w:r>
    </w:p>
    <w:p w14:paraId="6CDE4C71">
      <w:pPr>
        <w:widowControl/>
        <w:spacing w:before="60" w:after="60" w:line="288" w:lineRule="auto"/>
        <w:jc w:val="center"/>
        <w:outlineLvl w:val="2"/>
        <w:rPr>
          <w:rFonts w:hint="eastAsia" w:ascii="仿宋" w:hAnsi="仿宋" w:eastAsia="仿宋" w:cs="仿宋"/>
          <w:b/>
          <w:sz w:val="28"/>
          <w:szCs w:val="30"/>
          <w:highlight w:val="none"/>
          <w:lang w:val="en-US" w:eastAsia="zh-CN"/>
        </w:rPr>
      </w:pPr>
      <w:r>
        <w:rPr>
          <w:rFonts w:hint="eastAsia" w:ascii="仿宋" w:hAnsi="仿宋" w:eastAsia="仿宋" w:cs="仿宋"/>
          <w:b/>
          <w:sz w:val="28"/>
          <w:szCs w:val="30"/>
          <w:highlight w:val="none"/>
        </w:rPr>
        <w:t>例：**分包</w:t>
      </w:r>
      <w:r>
        <w:rPr>
          <w:rFonts w:hint="eastAsia" w:ascii="仿宋" w:hAnsi="仿宋" w:eastAsia="仿宋" w:cs="仿宋"/>
          <w:b/>
          <w:sz w:val="28"/>
          <w:szCs w:val="30"/>
          <w:highlight w:val="none"/>
          <w:lang w:val="en-US" w:eastAsia="zh-CN"/>
        </w:rPr>
        <w:t>履约能力</w:t>
      </w:r>
    </w:p>
    <w:p w14:paraId="70EEE6B1">
      <w:pPr>
        <w:widowControl/>
        <w:spacing w:before="60" w:after="60" w:line="288" w:lineRule="auto"/>
        <w:jc w:val="center"/>
        <w:outlineLvl w:val="2"/>
        <w:rPr>
          <w:rFonts w:hint="eastAsia" w:ascii="仿宋" w:hAnsi="仿宋" w:eastAsia="仿宋" w:cs="仿宋"/>
          <w:b/>
          <w:sz w:val="28"/>
          <w:szCs w:val="30"/>
          <w:highlight w:val="none"/>
          <w:lang w:val="en-US" w:eastAsia="zh-CN"/>
        </w:rPr>
      </w:pPr>
      <w:r>
        <w:rPr>
          <w:rFonts w:hint="eastAsia" w:ascii="仿宋" w:hAnsi="仿宋" w:eastAsia="仿宋" w:cs="仿宋"/>
          <w:b/>
          <w:sz w:val="28"/>
          <w:szCs w:val="30"/>
          <w:highlight w:val="none"/>
        </w:rPr>
        <w:t>**分包</w:t>
      </w:r>
      <w:r>
        <w:rPr>
          <w:rFonts w:hint="eastAsia" w:ascii="仿宋" w:hAnsi="仿宋" w:eastAsia="仿宋" w:cs="仿宋"/>
          <w:b/>
          <w:sz w:val="28"/>
          <w:szCs w:val="30"/>
          <w:highlight w:val="none"/>
          <w:lang w:val="en-US" w:eastAsia="zh-CN"/>
        </w:rPr>
        <w:t>服务方案</w:t>
      </w:r>
    </w:p>
    <w:p w14:paraId="611F0A0A">
      <w:pPr>
        <w:widowControl/>
        <w:spacing w:before="60" w:after="60" w:line="288" w:lineRule="auto"/>
        <w:jc w:val="center"/>
        <w:outlineLvl w:val="2"/>
        <w:rPr>
          <w:rFonts w:hint="eastAsia" w:ascii="仿宋" w:hAnsi="仿宋" w:eastAsia="仿宋" w:cs="仿宋"/>
          <w:b/>
          <w:sz w:val="28"/>
          <w:szCs w:val="30"/>
          <w:highlight w:val="none"/>
        </w:rPr>
      </w:pPr>
      <w:r>
        <w:rPr>
          <w:rFonts w:hint="eastAsia" w:ascii="仿宋" w:hAnsi="仿宋" w:eastAsia="仿宋" w:cs="仿宋"/>
          <w:b/>
          <w:sz w:val="28"/>
          <w:szCs w:val="30"/>
          <w:highlight w:val="none"/>
        </w:rPr>
        <w:t>**分包</w:t>
      </w:r>
      <w:r>
        <w:rPr>
          <w:rFonts w:hint="eastAsia" w:ascii="仿宋" w:hAnsi="仿宋" w:eastAsia="仿宋" w:cs="仿宋"/>
          <w:b/>
          <w:sz w:val="28"/>
          <w:szCs w:val="30"/>
          <w:highlight w:val="none"/>
          <w:lang w:val="en-US" w:eastAsia="zh-CN"/>
        </w:rPr>
        <w:t>品牌优势</w:t>
      </w:r>
    </w:p>
    <w:p w14:paraId="70CD09DB">
      <w:pPr>
        <w:jc w:val="center"/>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lang w:val="en-US" w:eastAsia="zh-CN"/>
        </w:rPr>
        <w:t>各分包需分别提供</w:t>
      </w:r>
      <w:r>
        <w:rPr>
          <w:rFonts w:hint="eastAsia" w:ascii="仿宋" w:hAnsi="仿宋" w:eastAsia="仿宋" w:cs="仿宋"/>
          <w:color w:val="FF0000"/>
          <w:sz w:val="28"/>
          <w:szCs w:val="28"/>
          <w:highlight w:val="none"/>
          <w:lang w:eastAsia="zh-CN"/>
        </w:rPr>
        <w:t>）</w:t>
      </w:r>
    </w:p>
    <w:p w14:paraId="78395F83">
      <w:pPr>
        <w:rPr>
          <w:rFonts w:hint="eastAsia" w:ascii="仿宋" w:hAnsi="仿宋" w:eastAsia="仿宋" w:cs="仿宋"/>
          <w:highlight w:val="none"/>
        </w:rPr>
      </w:pPr>
    </w:p>
    <w:sectPr>
      <w:pgSz w:w="16838" w:h="11906" w:orient="landscape"/>
      <w:pgMar w:top="1803" w:right="1440" w:bottom="1803" w:left="1440"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F99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5E3D2">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65E3D2">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12217">
    <w:pPr>
      <w:pStyle w:val="7"/>
    </w:pPr>
    <w:r>
      <w:drawing>
        <wp:anchor distT="0" distB="0" distL="0" distR="0" simplePos="0" relativeHeight="251659264" behindDoc="0" locked="0" layoutInCell="1" allowOverlap="1">
          <wp:simplePos x="0" y="0"/>
          <wp:positionH relativeFrom="column">
            <wp:posOffset>748030</wp:posOffset>
          </wp:positionH>
          <wp:positionV relativeFrom="page">
            <wp:posOffset>556260</wp:posOffset>
          </wp:positionV>
          <wp:extent cx="455930" cy="257810"/>
          <wp:effectExtent l="0" t="0" r="1270" b="8890"/>
          <wp:wrapSquare wrapText="bothSides"/>
          <wp:docPr id="21" name="IM 1"/>
          <wp:cNvGraphicFramePr/>
          <a:graphic xmlns:a="http://schemas.openxmlformats.org/drawingml/2006/main">
            <a:graphicData uri="http://schemas.openxmlformats.org/drawingml/2006/picture">
              <pic:pic xmlns:pic="http://schemas.openxmlformats.org/drawingml/2006/picture">
                <pic:nvPicPr>
                  <pic:cNvPr id="21" name="IM 1"/>
                  <pic:cNvPicPr/>
                </pic:nvPicPr>
                <pic:blipFill>
                  <a:blip r:embed="rId1"/>
                  <a:stretch>
                    <a:fillRect/>
                  </a:stretch>
                </pic:blipFill>
                <pic:spPr>
                  <a:xfrm>
                    <a:off x="0" y="0"/>
                    <a:ext cx="455930" cy="257810"/>
                  </a:xfrm>
                  <a:prstGeom prst="rect">
                    <a:avLst/>
                  </a:prstGeom>
                </pic:spPr>
              </pic:pic>
            </a:graphicData>
          </a:graphic>
        </wp:anchor>
      </w:drawing>
    </w:r>
    <w:r>
      <w:rPr>
        <w:rFonts w:hint="eastAsia" w:ascii="仿宋" w:hAnsi="仿宋" w:eastAsia="仿宋" w:cs="仿宋"/>
        <w:b/>
        <w:bCs/>
        <w:color w:val="005DAD"/>
        <w:sz w:val="24"/>
        <w:szCs w:val="24"/>
        <w:lang w:val="en-US" w:eastAsia="zh-CN"/>
        <w14:shadow w14:blurRad="139700" w14:dist="63500" w14:dir="18900000">
          <w14:srgbClr w14:val="46758E">
            <w14:alpha w14:val="32000"/>
          </w14:srgbClr>
        </w14:shadow>
        <w14:reflection w14:blurRad="88900" w14:stA="52000" w14:stPos="0" w14:endA="300" w14:endPos="45500" w14:dist="53340" w14:dir="5400000" w14:fadeDir="5400000" w14:sx="100000" w14:sy="-100000" w14:kx="0" w14:algn="bl"/>
      </w:rPr>
      <w:t>南 京 众 智 工 程 咨 询 有 限 公 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CE894"/>
    <w:multiLevelType w:val="singleLevel"/>
    <w:tmpl w:val="A0BCE89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ODIwODQzNjZkZTM4NmJiNDhmZjVhYThjMzk3YjcifQ=="/>
    <w:docVar w:name="KSO_WPS_MARK_KEY" w:val="d7e17f6f-7a44-4695-a4f5-15d42e96dd5e"/>
  </w:docVars>
  <w:rsids>
    <w:rsidRoot w:val="79234DD3"/>
    <w:rsid w:val="000C25ED"/>
    <w:rsid w:val="001A6DFD"/>
    <w:rsid w:val="001E4F8E"/>
    <w:rsid w:val="0032286A"/>
    <w:rsid w:val="003845C2"/>
    <w:rsid w:val="004C77B9"/>
    <w:rsid w:val="00541C15"/>
    <w:rsid w:val="0065540F"/>
    <w:rsid w:val="006A6838"/>
    <w:rsid w:val="006C3E71"/>
    <w:rsid w:val="00850F80"/>
    <w:rsid w:val="00912336"/>
    <w:rsid w:val="00985383"/>
    <w:rsid w:val="009F04E1"/>
    <w:rsid w:val="00AA31FE"/>
    <w:rsid w:val="00C620B3"/>
    <w:rsid w:val="00D417D1"/>
    <w:rsid w:val="08C66F99"/>
    <w:rsid w:val="094F4C64"/>
    <w:rsid w:val="0AF12AF5"/>
    <w:rsid w:val="0AFF0AE8"/>
    <w:rsid w:val="0B8B6D9A"/>
    <w:rsid w:val="0CAD25BF"/>
    <w:rsid w:val="0D2A7FBF"/>
    <w:rsid w:val="120D3204"/>
    <w:rsid w:val="140935B9"/>
    <w:rsid w:val="161E485D"/>
    <w:rsid w:val="193D7348"/>
    <w:rsid w:val="1AF1371F"/>
    <w:rsid w:val="2D61027A"/>
    <w:rsid w:val="30843362"/>
    <w:rsid w:val="315D795D"/>
    <w:rsid w:val="371D6565"/>
    <w:rsid w:val="37CA35F2"/>
    <w:rsid w:val="384058D0"/>
    <w:rsid w:val="3CCA0D96"/>
    <w:rsid w:val="3EB650B5"/>
    <w:rsid w:val="40962265"/>
    <w:rsid w:val="40C035D9"/>
    <w:rsid w:val="40D4576A"/>
    <w:rsid w:val="44494348"/>
    <w:rsid w:val="46A61F18"/>
    <w:rsid w:val="4920418C"/>
    <w:rsid w:val="4C6A25EE"/>
    <w:rsid w:val="4F401EA3"/>
    <w:rsid w:val="55C1100D"/>
    <w:rsid w:val="56AF0649"/>
    <w:rsid w:val="5AB70D15"/>
    <w:rsid w:val="5D7A7717"/>
    <w:rsid w:val="5DD44596"/>
    <w:rsid w:val="5F3A53B0"/>
    <w:rsid w:val="62456545"/>
    <w:rsid w:val="660404C6"/>
    <w:rsid w:val="67CB129B"/>
    <w:rsid w:val="68880E27"/>
    <w:rsid w:val="695E2641"/>
    <w:rsid w:val="6A8F6861"/>
    <w:rsid w:val="6FB0083E"/>
    <w:rsid w:val="72043AFB"/>
    <w:rsid w:val="726118E5"/>
    <w:rsid w:val="7923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首行缩进 211"/>
    <w:basedOn w:val="12"/>
    <w:next w:val="1"/>
    <w:qFormat/>
    <w:uiPriority w:val="0"/>
    <w:pPr>
      <w:spacing w:after="0" w:line="360" w:lineRule="auto"/>
      <w:ind w:left="0" w:firstLine="420"/>
    </w:pPr>
    <w:rPr>
      <w:rFonts w:ascii="宋体" w:hAnsi="宋体"/>
      <w:szCs w:val="20"/>
    </w:rPr>
  </w:style>
  <w:style w:type="paragraph" w:customStyle="1" w:styleId="12">
    <w:name w:val="正文文本缩进11"/>
    <w:basedOn w:val="1"/>
    <w:next w:val="13"/>
    <w:unhideWhenUsed/>
    <w:qFormat/>
    <w:uiPriority w:val="0"/>
    <w:pPr>
      <w:spacing w:after="120"/>
      <w:ind w:left="420"/>
    </w:pPr>
  </w:style>
  <w:style w:type="paragraph" w:customStyle="1" w:styleId="13">
    <w:name w:val="寄信人地址1"/>
    <w:basedOn w:val="1"/>
    <w:qFormat/>
    <w:uiPriority w:val="0"/>
    <w:rPr>
      <w:rFonts w:ascii="Arial" w:hAnsi="Arial" w:cs="宋体"/>
    </w:rPr>
  </w:style>
  <w:style w:type="paragraph" w:customStyle="1" w:styleId="14">
    <w:name w:val="标题 312"/>
    <w:basedOn w:val="1"/>
    <w:next w:val="15"/>
    <w:unhideWhenUsed/>
    <w:qFormat/>
    <w:uiPriority w:val="9"/>
    <w:pPr>
      <w:keepNext/>
      <w:keepLines/>
      <w:spacing w:before="320" w:after="200"/>
      <w:outlineLvl w:val="2"/>
    </w:pPr>
    <w:rPr>
      <w:rFonts w:ascii="Arial" w:hAnsi="Arial" w:eastAsia="Arial" w:cs="Arial"/>
      <w:sz w:val="30"/>
      <w:szCs w:val="30"/>
    </w:rPr>
  </w:style>
  <w:style w:type="paragraph" w:customStyle="1" w:styleId="15">
    <w:name w:val="正文缩进12"/>
    <w:basedOn w:val="1"/>
    <w:qFormat/>
    <w:uiPriority w:val="0"/>
    <w:pPr>
      <w:ind w:firstLine="420"/>
    </w:pPr>
  </w:style>
  <w:style w:type="character" w:customStyle="1" w:styleId="16">
    <w:name w:val="已访问的超链接11"/>
    <w:qFormat/>
    <w:uiPriority w:val="0"/>
    <w:rPr>
      <w:rFonts w:hint="default" w:ascii="Times New Roman" w:hAnsi="Times New Roman" w:eastAsia="宋体" w:cs="Times New Roman"/>
      <w:sz w:val="21"/>
      <w:szCs w:val="21"/>
      <w:lang w:val="en-US" w:eastAsia="zh-CN" w:bidi="ar-SA"/>
    </w:rPr>
  </w:style>
  <w:style w:type="paragraph" w:customStyle="1" w:styleId="17">
    <w:name w:val="索引 41"/>
    <w:basedOn w:val="1"/>
    <w:next w:val="1"/>
    <w:semiHidden/>
    <w:qFormat/>
    <w:uiPriority w:val="0"/>
    <w:pPr>
      <w:ind w:left="1260"/>
    </w:pPr>
    <w:rPr>
      <w:rFonts w:ascii="Calibri" w:hAnsi="Calibri" w:eastAsia="Calibri" w:cs="宋体"/>
      <w:sz w:val="20"/>
      <w:lang w:val="zh-CN"/>
    </w:rPr>
  </w:style>
  <w:style w:type="character" w:customStyle="1" w:styleId="18">
    <w:name w:val="页眉 Char"/>
    <w:basedOn w:val="10"/>
    <w:link w:val="7"/>
    <w:qFormat/>
    <w:uiPriority w:val="0"/>
    <w:rPr>
      <w:sz w:val="18"/>
      <w:szCs w:val="18"/>
    </w:rPr>
  </w:style>
  <w:style w:type="character" w:customStyle="1" w:styleId="19">
    <w:name w:val="页脚 Char"/>
    <w:basedOn w:val="10"/>
    <w:link w:val="6"/>
    <w:qFormat/>
    <w:uiPriority w:val="0"/>
    <w:rPr>
      <w:sz w:val="18"/>
      <w:szCs w:val="18"/>
    </w:rPr>
  </w:style>
  <w:style w:type="character" w:customStyle="1" w:styleId="20">
    <w:name w:val="标题 1 Char"/>
    <w:basedOn w:val="10"/>
    <w:link w:val="2"/>
    <w:qFormat/>
    <w:uiPriority w:val="0"/>
    <w:rPr>
      <w:b/>
      <w:bCs/>
      <w:kern w:val="44"/>
      <w:sz w:val="44"/>
      <w:szCs w:val="44"/>
    </w:rPr>
  </w:style>
  <w:style w:type="character" w:customStyle="1" w:styleId="21">
    <w:name w:val="标题 2 Char"/>
    <w:basedOn w:val="10"/>
    <w:link w:val="3"/>
    <w:qFormat/>
    <w:uiPriority w:val="0"/>
    <w:rPr>
      <w:rFonts w:asciiTheme="majorHAnsi" w:hAnsiTheme="majorHAnsi" w:eastAsiaTheme="majorEastAsia" w:cstheme="majorBidi"/>
      <w:b/>
      <w:bCs/>
      <w:sz w:val="32"/>
      <w:szCs w:val="32"/>
    </w:rPr>
  </w:style>
  <w:style w:type="character" w:customStyle="1" w:styleId="22">
    <w:name w:val="标题 3 Char"/>
    <w:basedOn w:val="10"/>
    <w:link w:val="4"/>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2010</Words>
  <Characters>2227</Characters>
  <Lines>19</Lines>
  <Paragraphs>5</Paragraphs>
  <TotalTime>26</TotalTime>
  <ScaleCrop>false</ScaleCrop>
  <LinksUpToDate>false</LinksUpToDate>
  <CharactersWithSpaces>2234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2024-12-23T06:43:00Z</dcterms:created>
  <dc:creator></dc:creator>
  <cp:lastModifiedBy>辰</cp:lastModifiedBy>
  <cp:lastPrinted>2024-12-28T08:45:00Z</cp:lastPrinted>
  <dcterms:modified xsi:type="dcterms:W3CDTF">2025-01-03T07:51:32Z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831BF27F76CC48AB9CE9B16DFB70FAF8_13</vt:lpwstr>
  </property>
  <property fmtid="{D5CDD505-2E9C-101B-9397-08002B2CF9AE}" pid="4" name="KSOTemplateDocerSaveRecord">
    <vt:lpwstr>eyJoZGlkIjoiNTlhZjliOGEwMGQ2YzdjYjFlZjA0NTRmYzg4YzQ4YzciLCJ1c2VySWQiOiIxNDM0OTk3Mzk0In0=</vt:lpwstr>
  </property>
</Properties>
</file>